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5330FD7A" w:rsidR="00FF6DA0" w:rsidRDefault="004716AE" w:rsidP="00A8160A">
      <w:pPr>
        <w:pStyle w:val="Alumna"/>
      </w:pPr>
      <w:r>
        <w:t xml:space="preserve">Acceptance </w:t>
      </w:r>
      <w:r w:rsidR="00683476">
        <w:t>o</w:t>
      </w:r>
      <w:r>
        <w:t xml:space="preserve">r Refusal </w:t>
      </w:r>
      <w:r w:rsidR="00DC6F03">
        <w:t>o</w:t>
      </w:r>
      <w:r>
        <w:t>f Donations</w:t>
      </w:r>
    </w:p>
    <w:p w14:paraId="26D277A9" w14:textId="77777777" w:rsidR="00EB6C86" w:rsidRPr="00067311" w:rsidRDefault="00EB6C86" w:rsidP="00A96691">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Applicability</w:t>
      </w:r>
    </w:p>
    <w:p w14:paraId="734548D6" w14:textId="77777777" w:rsidR="00EB6C86" w:rsidRDefault="00EB6C86" w:rsidP="00A96691">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 xml:space="preserve">This policy applies to all members of our charity, including trustees.  Therefore, everyone must follow this policy in accepting or refusing donations.  </w:t>
      </w:r>
    </w:p>
    <w:p w14:paraId="4E262614" w14:textId="625B0E29" w:rsidR="00EE6233" w:rsidRDefault="00EE6233" w:rsidP="00A96691">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The following a covered by separate </w:t>
      </w:r>
      <w:proofErr w:type="gramStart"/>
      <w:r>
        <w:rPr>
          <w:rFonts w:asciiTheme="majorHAnsi" w:hAnsiTheme="majorHAnsi"/>
          <w:color w:val="auto"/>
          <w:szCs w:val="24"/>
        </w:rPr>
        <w:t>regulations;</w:t>
      </w:r>
      <w:proofErr w:type="gramEnd"/>
    </w:p>
    <w:p w14:paraId="474F248E" w14:textId="2017D94C" w:rsidR="00EE6233" w:rsidRPr="00EE6233" w:rsidRDefault="00EE6233" w:rsidP="00EE6233">
      <w:pPr>
        <w:pStyle w:val="ListParagraph"/>
        <w:numPr>
          <w:ilvl w:val="0"/>
          <w:numId w:val="33"/>
        </w:numPr>
        <w:spacing w:beforeAutospacing="1" w:afterAutospacing="1"/>
        <w:textAlignment w:val="baseline"/>
        <w:rPr>
          <w:rFonts w:asciiTheme="majorHAnsi" w:hAnsiTheme="majorHAnsi"/>
          <w:color w:val="auto"/>
          <w:sz w:val="24"/>
          <w:szCs w:val="24"/>
        </w:rPr>
      </w:pPr>
      <w:r w:rsidRPr="00EE6233">
        <w:rPr>
          <w:rFonts w:asciiTheme="majorHAnsi" w:hAnsiTheme="majorHAnsi"/>
          <w:color w:val="auto"/>
          <w:sz w:val="24"/>
          <w:szCs w:val="24"/>
        </w:rPr>
        <w:t>Ex gratia payments.</w:t>
      </w:r>
    </w:p>
    <w:p w14:paraId="63C8C7CF" w14:textId="2D80DDC8" w:rsidR="00EE6233" w:rsidRPr="00EE6233" w:rsidRDefault="00EE6233" w:rsidP="00EE6233">
      <w:pPr>
        <w:pStyle w:val="ListParagraph"/>
        <w:numPr>
          <w:ilvl w:val="0"/>
          <w:numId w:val="33"/>
        </w:numPr>
        <w:spacing w:beforeAutospacing="1" w:afterAutospacing="1"/>
        <w:textAlignment w:val="baseline"/>
        <w:rPr>
          <w:rFonts w:asciiTheme="majorHAnsi" w:hAnsiTheme="majorHAnsi"/>
          <w:color w:val="auto"/>
          <w:sz w:val="24"/>
          <w:szCs w:val="24"/>
        </w:rPr>
      </w:pPr>
      <w:r w:rsidRPr="00EE6233">
        <w:rPr>
          <w:rFonts w:asciiTheme="majorHAnsi" w:hAnsiTheme="majorHAnsi"/>
          <w:color w:val="auto"/>
          <w:sz w:val="24"/>
          <w:szCs w:val="24"/>
        </w:rPr>
        <w:t>Failed fundraising appeals.</w:t>
      </w:r>
    </w:p>
    <w:p w14:paraId="15BAA29B" w14:textId="3B7C35EA" w:rsidR="00EE6233" w:rsidRPr="00EE6233" w:rsidRDefault="00EE6233" w:rsidP="00EE6233">
      <w:pPr>
        <w:pStyle w:val="ListParagraph"/>
        <w:numPr>
          <w:ilvl w:val="0"/>
          <w:numId w:val="33"/>
        </w:numPr>
        <w:spacing w:beforeAutospacing="1" w:afterAutospacing="1"/>
        <w:textAlignment w:val="baseline"/>
        <w:rPr>
          <w:rFonts w:asciiTheme="majorHAnsi" w:hAnsiTheme="majorHAnsi"/>
          <w:color w:val="auto"/>
          <w:sz w:val="24"/>
          <w:szCs w:val="24"/>
        </w:rPr>
      </w:pPr>
      <w:r w:rsidRPr="00EE6233">
        <w:rPr>
          <w:rFonts w:asciiTheme="majorHAnsi" w:hAnsiTheme="majorHAnsi"/>
          <w:color w:val="auto"/>
          <w:sz w:val="24"/>
          <w:szCs w:val="24"/>
        </w:rPr>
        <w:t>If the funding offered may be a contract rather than a donation.</w:t>
      </w:r>
    </w:p>
    <w:p w14:paraId="44082DA8" w14:textId="77777777" w:rsidR="00EB6C86" w:rsidRPr="00067311" w:rsidRDefault="00EB6C86" w:rsidP="00A96691">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Compliance</w:t>
      </w:r>
    </w:p>
    <w:p w14:paraId="08CC5FE0" w14:textId="3E75E0C4" w:rsidR="00EB6C86" w:rsidRDefault="00EB6C86" w:rsidP="00A96691">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As a registered charity, we comply with all relevant UK laws and regulatory guidelines, including those issued by the Charity Commission, HMRC and the Fundraising Regulator.</w:t>
      </w:r>
      <w:r w:rsidR="00804BB7" w:rsidRPr="00804BB7">
        <w:rPr>
          <w:rFonts w:ascii="Arial" w:hAnsi="Arial" w:cs="Arial"/>
          <w:color w:val="110A1D"/>
          <w:sz w:val="30"/>
          <w:szCs w:val="30"/>
          <w:shd w:val="clear" w:color="auto" w:fill="FFFFFF"/>
        </w:rPr>
        <w:t xml:space="preserve"> </w:t>
      </w:r>
      <w:r w:rsidR="00804BB7" w:rsidRPr="00804BB7">
        <w:rPr>
          <w:rFonts w:asciiTheme="majorHAnsi" w:hAnsiTheme="majorHAnsi"/>
          <w:color w:val="auto"/>
          <w:szCs w:val="24"/>
        </w:rPr>
        <w:t>In accordance with the Fundraising Code 2.3.1 we would only refuse or return donations in exceptional circumstances</w:t>
      </w:r>
      <w:r w:rsidR="00804BB7">
        <w:rPr>
          <w:rFonts w:asciiTheme="majorHAnsi" w:hAnsiTheme="majorHAnsi"/>
          <w:color w:val="auto"/>
          <w:szCs w:val="24"/>
        </w:rPr>
        <w:t xml:space="preserve">.  In the event we considered such action, the circumstances and rationale for the decision made would be documented. </w:t>
      </w:r>
    </w:p>
    <w:p w14:paraId="3790DF72" w14:textId="77777777" w:rsidR="004B4D45" w:rsidRDefault="00EB6C86" w:rsidP="00A96691">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 xml:space="preserve">In soliciting </w:t>
      </w:r>
      <w:r w:rsidR="00C9135E" w:rsidRPr="00A363AF">
        <w:rPr>
          <w:rFonts w:asciiTheme="majorHAnsi" w:hAnsiTheme="majorHAnsi"/>
          <w:color w:val="auto"/>
          <w:szCs w:val="24"/>
        </w:rPr>
        <w:t>funds,</w:t>
      </w:r>
      <w:r w:rsidRPr="00A363AF">
        <w:rPr>
          <w:rFonts w:asciiTheme="majorHAnsi" w:hAnsiTheme="majorHAnsi"/>
          <w:color w:val="auto"/>
          <w:szCs w:val="24"/>
        </w:rPr>
        <w:t xml:space="preserve"> we will not knowingly mislead or provide false information, nor put undue pressure on a donor, particularly if he/she may be vulnerable. </w:t>
      </w:r>
    </w:p>
    <w:p w14:paraId="71D4CB1A" w14:textId="70044819" w:rsidR="004B4D45" w:rsidRPr="004B4D45" w:rsidRDefault="004B4D45" w:rsidP="00A96691">
      <w:pPr>
        <w:spacing w:beforeAutospacing="1" w:afterAutospacing="1" w:line="276" w:lineRule="auto"/>
        <w:textAlignment w:val="baseline"/>
        <w:rPr>
          <w:rFonts w:asciiTheme="majorHAnsi" w:hAnsiTheme="majorHAnsi"/>
          <w:color w:val="auto"/>
          <w:szCs w:val="24"/>
        </w:rPr>
      </w:pPr>
      <w:r w:rsidRPr="004B4D45">
        <w:rPr>
          <w:rFonts w:asciiTheme="majorHAnsi" w:hAnsiTheme="majorHAnsi"/>
          <w:color w:val="auto"/>
          <w:szCs w:val="24"/>
        </w:rPr>
        <w:t>If we suspect that our charity has received a donation from an illegal source, we will not return it or contact the donor and, instead will notify the relevant authorities, including the charity regulator. </w:t>
      </w:r>
    </w:p>
    <w:p w14:paraId="11703B47" w14:textId="0A231361" w:rsidR="004B4D45" w:rsidRPr="004B4D45" w:rsidRDefault="004B4D45" w:rsidP="00A96691">
      <w:pPr>
        <w:spacing w:beforeAutospacing="1" w:afterAutospacing="1" w:line="276" w:lineRule="auto"/>
        <w:textAlignment w:val="baseline"/>
        <w:rPr>
          <w:rFonts w:asciiTheme="majorHAnsi" w:hAnsiTheme="majorHAnsi"/>
          <w:color w:val="auto"/>
          <w:szCs w:val="24"/>
        </w:rPr>
      </w:pPr>
      <w:r w:rsidRPr="004B4D45">
        <w:rPr>
          <w:rFonts w:asciiTheme="majorHAnsi" w:hAnsiTheme="majorHAnsi"/>
          <w:color w:val="auto"/>
          <w:szCs w:val="24"/>
        </w:rPr>
        <w:t>We also recognise our legal obligations to refuse or return any donation:</w:t>
      </w:r>
    </w:p>
    <w:p w14:paraId="4555F5E3" w14:textId="77777777" w:rsidR="004B4D45" w:rsidRPr="004B4D45" w:rsidRDefault="004B4D45" w:rsidP="004B4D45">
      <w:pPr>
        <w:pStyle w:val="ListParagraph"/>
        <w:numPr>
          <w:ilvl w:val="0"/>
          <w:numId w:val="32"/>
        </w:numPr>
        <w:spacing w:beforeAutospacing="1" w:afterAutospacing="1"/>
        <w:textAlignment w:val="baseline"/>
        <w:rPr>
          <w:rFonts w:asciiTheme="majorHAnsi" w:hAnsiTheme="majorHAnsi"/>
          <w:color w:val="auto"/>
          <w:sz w:val="24"/>
          <w:szCs w:val="24"/>
        </w:rPr>
      </w:pPr>
      <w:r w:rsidRPr="004B4D45">
        <w:rPr>
          <w:rFonts w:asciiTheme="majorHAnsi" w:hAnsiTheme="majorHAnsi"/>
          <w:color w:val="auto"/>
          <w:sz w:val="24"/>
          <w:szCs w:val="24"/>
        </w:rPr>
        <w:t>From a donor who:</w:t>
      </w:r>
    </w:p>
    <w:p w14:paraId="2E9ABA73" w14:textId="1759CC19" w:rsidR="004B4D45" w:rsidRPr="004B4D45" w:rsidRDefault="004B4D45" w:rsidP="004B4D45">
      <w:pPr>
        <w:pStyle w:val="ListParagraph"/>
        <w:numPr>
          <w:ilvl w:val="1"/>
          <w:numId w:val="32"/>
        </w:numPr>
        <w:spacing w:beforeAutospacing="1" w:afterAutospacing="1"/>
        <w:textAlignment w:val="baseline"/>
        <w:rPr>
          <w:rFonts w:asciiTheme="majorHAnsi" w:hAnsiTheme="majorHAnsi"/>
          <w:color w:val="auto"/>
          <w:sz w:val="24"/>
          <w:szCs w:val="24"/>
        </w:rPr>
      </w:pPr>
      <w:r w:rsidRPr="004B4D45">
        <w:rPr>
          <w:rFonts w:asciiTheme="majorHAnsi" w:hAnsiTheme="majorHAnsi"/>
          <w:color w:val="auto"/>
          <w:sz w:val="24"/>
          <w:szCs w:val="24"/>
        </w:rPr>
        <w:t xml:space="preserve">Does not have the mental ability to decide to donate. </w:t>
      </w:r>
    </w:p>
    <w:p w14:paraId="00EF8E5F" w14:textId="7EAB2522" w:rsidR="004B4D45" w:rsidRPr="004B4D45" w:rsidRDefault="004B4D45" w:rsidP="004B4D45">
      <w:pPr>
        <w:pStyle w:val="ListParagraph"/>
        <w:numPr>
          <w:ilvl w:val="1"/>
          <w:numId w:val="32"/>
        </w:numPr>
        <w:spacing w:beforeAutospacing="1" w:afterAutospacing="1"/>
        <w:textAlignment w:val="baseline"/>
        <w:rPr>
          <w:rFonts w:asciiTheme="majorHAnsi" w:hAnsiTheme="majorHAnsi"/>
          <w:color w:val="auto"/>
          <w:sz w:val="24"/>
          <w:szCs w:val="24"/>
        </w:rPr>
      </w:pPr>
      <w:r w:rsidRPr="004B4D45">
        <w:rPr>
          <w:rFonts w:asciiTheme="majorHAnsi" w:hAnsiTheme="majorHAnsi"/>
          <w:color w:val="auto"/>
          <w:sz w:val="24"/>
          <w:szCs w:val="24"/>
        </w:rPr>
        <w:t>Cannot legally be given to your charity. For example, where the donor does not own the property that they are donating.</w:t>
      </w:r>
    </w:p>
    <w:p w14:paraId="013575A8" w14:textId="51369D8F" w:rsidR="004B4D45" w:rsidRPr="004B4D45" w:rsidRDefault="004B4D45" w:rsidP="004B4D45">
      <w:pPr>
        <w:pStyle w:val="ListParagraph"/>
        <w:numPr>
          <w:ilvl w:val="0"/>
          <w:numId w:val="32"/>
        </w:numPr>
        <w:spacing w:beforeAutospacing="1" w:afterAutospacing="1"/>
        <w:textAlignment w:val="baseline"/>
        <w:rPr>
          <w:rFonts w:asciiTheme="majorHAnsi" w:hAnsiTheme="majorHAnsi"/>
          <w:color w:val="auto"/>
          <w:sz w:val="24"/>
          <w:szCs w:val="24"/>
        </w:rPr>
      </w:pPr>
      <w:proofErr w:type="gramStart"/>
      <w:r w:rsidRPr="004B4D45">
        <w:rPr>
          <w:rFonts w:asciiTheme="majorHAnsi" w:hAnsiTheme="majorHAnsi"/>
          <w:color w:val="auto"/>
          <w:sz w:val="24"/>
          <w:szCs w:val="24"/>
        </w:rPr>
        <w:t>Where</w:t>
      </w:r>
      <w:proofErr w:type="gramEnd"/>
      <w:r w:rsidRPr="004B4D45">
        <w:rPr>
          <w:rFonts w:asciiTheme="majorHAnsi" w:hAnsiTheme="majorHAnsi"/>
          <w:color w:val="auto"/>
          <w:sz w:val="24"/>
          <w:szCs w:val="24"/>
        </w:rPr>
        <w:t>, under the terms of the donation, must be returned in certain circumstances.</w:t>
      </w:r>
    </w:p>
    <w:p w14:paraId="037475F8" w14:textId="77777777" w:rsidR="00EB6C86" w:rsidRPr="00067311" w:rsidRDefault="00EB6C86" w:rsidP="00A96691">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Acceptance of Donations</w:t>
      </w:r>
    </w:p>
    <w:p w14:paraId="25DE52F5" w14:textId="77777777" w:rsidR="00EB6C86" w:rsidRDefault="00EB6C86" w:rsidP="00A96691">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lastRenderedPageBreak/>
        <w:t xml:space="preserve">We accept donations on a good faith basis.  That is there is a presumption that a donation is acceptable, unless there is evidence to the contrary.  We carry out </w:t>
      </w:r>
      <w:hyperlink r:id="rId10" w:history="1">
        <w:r w:rsidRPr="0065374B">
          <w:rPr>
            <w:rStyle w:val="Hyperlink"/>
            <w:rFonts w:asciiTheme="majorHAnsi" w:hAnsiTheme="majorHAnsi"/>
            <w:szCs w:val="24"/>
          </w:rPr>
          <w:t>appropriate risk based due diligence</w:t>
        </w:r>
      </w:hyperlink>
      <w:r w:rsidRPr="00A363AF">
        <w:rPr>
          <w:rFonts w:asciiTheme="majorHAnsi" w:hAnsiTheme="majorHAnsi"/>
          <w:color w:val="auto"/>
          <w:szCs w:val="24"/>
        </w:rPr>
        <w:t xml:space="preserve"> to mitigate this risk to an acceptable degree.</w:t>
      </w:r>
    </w:p>
    <w:p w14:paraId="5D214CC1" w14:textId="77777777" w:rsidR="00EB6C86" w:rsidRDefault="00EB6C86" w:rsidP="00A96691">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 xml:space="preserve">In deciding to accept, or reject, a donation we balance the </w:t>
      </w:r>
      <w:r>
        <w:rPr>
          <w:rFonts w:asciiTheme="majorHAnsi" w:hAnsiTheme="majorHAnsi"/>
          <w:color w:val="auto"/>
          <w:szCs w:val="24"/>
        </w:rPr>
        <w:t>impact on our beneficiaries of not accepting the funding</w:t>
      </w:r>
      <w:r w:rsidRPr="00A363AF">
        <w:rPr>
          <w:rFonts w:asciiTheme="majorHAnsi" w:hAnsiTheme="majorHAnsi"/>
          <w:color w:val="auto"/>
          <w:szCs w:val="24"/>
        </w:rPr>
        <w:t xml:space="preserve">, against </w:t>
      </w:r>
      <w:r>
        <w:rPr>
          <w:rFonts w:asciiTheme="majorHAnsi" w:hAnsiTheme="majorHAnsi"/>
          <w:color w:val="auto"/>
          <w:szCs w:val="24"/>
        </w:rPr>
        <w:t xml:space="preserve">the impact on our charity of </w:t>
      </w:r>
      <w:r w:rsidRPr="00A363AF">
        <w:rPr>
          <w:rFonts w:asciiTheme="majorHAnsi" w:hAnsiTheme="majorHAnsi"/>
          <w:color w:val="auto"/>
          <w:szCs w:val="24"/>
        </w:rPr>
        <w:t>accepting a donation that should not have been.</w:t>
      </w:r>
      <w:r>
        <w:rPr>
          <w:rFonts w:asciiTheme="majorHAnsi" w:hAnsiTheme="majorHAnsi"/>
          <w:color w:val="auto"/>
          <w:szCs w:val="24"/>
        </w:rPr>
        <w:t xml:space="preserve">  That may include risks such as harm to our beneficiaries’ interests, reputational damage, loss of public trust and the risk of breaking the law.</w:t>
      </w:r>
    </w:p>
    <w:p w14:paraId="618A7A74" w14:textId="77777777" w:rsidR="00EB6C86" w:rsidRDefault="00EB6C86" w:rsidP="00A96691">
      <w:pPr>
        <w:shd w:val="clear" w:color="auto" w:fill="FFFFFF"/>
        <w:spacing w:before="100" w:beforeAutospacing="1" w:after="100" w:afterAutospacing="1" w:line="276" w:lineRule="auto"/>
        <w:rPr>
          <w:rFonts w:asciiTheme="majorHAnsi" w:eastAsia="Times New Roman" w:hAnsiTheme="majorHAnsi" w:cs="Arial"/>
          <w:color w:val="auto"/>
          <w:spacing w:val="0"/>
          <w:kern w:val="0"/>
          <w:szCs w:val="24"/>
          <w:lang w:eastAsia="en-GB"/>
        </w:rPr>
      </w:pPr>
      <w:r w:rsidRPr="005F2086">
        <w:rPr>
          <w:rFonts w:asciiTheme="majorHAnsi" w:hAnsiTheme="majorHAnsi" w:cs="Arial"/>
          <w:color w:val="auto"/>
          <w:szCs w:val="24"/>
          <w:shd w:val="clear" w:color="auto" w:fill="FFFFFF"/>
        </w:rPr>
        <w:t xml:space="preserve">Factors we will consider in making decision will include </w:t>
      </w:r>
      <w:r w:rsidRPr="005F2086">
        <w:rPr>
          <w:rFonts w:asciiTheme="majorHAnsi" w:eastAsia="Times New Roman" w:hAnsiTheme="majorHAnsi" w:cs="Arial"/>
          <w:color w:val="auto"/>
          <w:spacing w:val="0"/>
          <w:kern w:val="0"/>
          <w:szCs w:val="24"/>
          <w:lang w:eastAsia="en-GB"/>
        </w:rPr>
        <w:t>any physical or mental-health condition, disability or learning difficulties the person may have, whether the person is facing times of stress or anxiety, whether a donation is likely to affect the person’s ability to sufficiently care for themselves or leave them in financial hardship, how well the person can speak and understand English, whether the person is under the influence of alcohol or drugs and the person’s age.</w:t>
      </w:r>
    </w:p>
    <w:p w14:paraId="18889507" w14:textId="77777777" w:rsidR="00EB6C86" w:rsidRDefault="00EB6C86" w:rsidP="00A96691">
      <w:pPr>
        <w:spacing w:beforeAutospacing="1" w:afterAutospacing="1" w:line="276" w:lineRule="auto"/>
        <w:textAlignment w:val="baseline"/>
        <w:rPr>
          <w:rFonts w:asciiTheme="majorHAnsi" w:hAnsiTheme="majorHAnsi" w:cs="Arial"/>
          <w:color w:val="auto"/>
          <w:szCs w:val="24"/>
          <w:shd w:val="clear" w:color="auto" w:fill="FFFFFF"/>
        </w:rPr>
      </w:pPr>
      <w:r w:rsidRPr="005F2086">
        <w:rPr>
          <w:rFonts w:asciiTheme="majorHAnsi" w:hAnsiTheme="majorHAnsi"/>
          <w:color w:val="auto"/>
          <w:szCs w:val="24"/>
        </w:rPr>
        <w:t xml:space="preserve">We will also take </w:t>
      </w:r>
      <w:r w:rsidRPr="005F2086">
        <w:rPr>
          <w:rFonts w:asciiTheme="majorHAnsi" w:hAnsiTheme="majorHAnsi" w:cs="Arial"/>
          <w:color w:val="auto"/>
          <w:szCs w:val="24"/>
          <w:shd w:val="clear" w:color="auto" w:fill="FFFFFF"/>
        </w:rPr>
        <w:t>all reasonable steps to avoid asking for regular donations (for example, by direct debit) from anyone aged under 18. </w:t>
      </w:r>
    </w:p>
    <w:p w14:paraId="226F93DD" w14:textId="77777777" w:rsidR="00632D43" w:rsidRDefault="00632D43" w:rsidP="00632D43">
      <w:pPr>
        <w:spacing w:before="100" w:beforeAutospacing="1" w:after="360"/>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Cryptoassets</w:t>
      </w:r>
    </w:p>
    <w:p w14:paraId="2D883E62" w14:textId="77777777" w:rsidR="00632D43" w:rsidRDefault="00632D43" w:rsidP="00632D43">
      <w:pPr>
        <w:spacing w:after="75"/>
        <w:rPr>
          <w:rFonts w:asciiTheme="majorHAnsi" w:hAnsiTheme="majorHAnsi"/>
          <w:color w:val="0B0C0C"/>
        </w:rPr>
      </w:pPr>
      <w:r w:rsidRPr="0012751D">
        <w:rPr>
          <w:rFonts w:asciiTheme="majorHAnsi" w:hAnsiTheme="majorHAnsi"/>
          <w:color w:val="0B0C0C"/>
        </w:rPr>
        <w:t xml:space="preserve">In deciding whether we will accept and hold donations of cryptoassets, we will assess the opportunities, benefits, risks and limitations.  In doing so, we will ensure that we either have or source relevant expertise.  If we decide to accept cryptoassets, we will implement appropriate financial and other </w:t>
      </w:r>
      <w:proofErr w:type="gramStart"/>
      <w:r w:rsidRPr="0012751D">
        <w:rPr>
          <w:rFonts w:asciiTheme="majorHAnsi" w:hAnsiTheme="majorHAnsi"/>
          <w:color w:val="0B0C0C"/>
        </w:rPr>
        <w:t>controls, and</w:t>
      </w:r>
      <w:proofErr w:type="gramEnd"/>
      <w:r w:rsidRPr="0012751D">
        <w:rPr>
          <w:rFonts w:asciiTheme="majorHAnsi" w:hAnsiTheme="majorHAnsi"/>
          <w:color w:val="0B0C0C"/>
        </w:rPr>
        <w:t xml:space="preserve"> manage the risk on an ongoing basis. </w:t>
      </w:r>
    </w:p>
    <w:p w14:paraId="215D5DC2" w14:textId="2179308C" w:rsidR="00762CE2" w:rsidRDefault="00762CE2" w:rsidP="00A96691">
      <w:pPr>
        <w:spacing w:beforeAutospacing="1" w:afterAutospacing="1" w:line="276" w:lineRule="auto"/>
        <w:textAlignment w:val="baseline"/>
        <w:rPr>
          <w:rFonts w:ascii="Century Gothic" w:hAnsi="Century Gothic"/>
          <w:b/>
          <w:bCs/>
          <w:color w:val="002060"/>
          <w:sz w:val="28"/>
          <w:szCs w:val="28"/>
        </w:rPr>
      </w:pPr>
      <w:r>
        <w:rPr>
          <w:rFonts w:ascii="Century Gothic" w:hAnsi="Century Gothic"/>
          <w:b/>
          <w:bCs/>
          <w:color w:val="002060"/>
          <w:sz w:val="28"/>
          <w:szCs w:val="28"/>
        </w:rPr>
        <w:t>Anonymous Donations</w:t>
      </w:r>
    </w:p>
    <w:p w14:paraId="6BB5492C" w14:textId="2F1E5328" w:rsidR="00762CE2" w:rsidRPr="001471B0" w:rsidRDefault="00762CE2" w:rsidP="00A96691">
      <w:pPr>
        <w:spacing w:beforeAutospacing="1" w:afterAutospacing="1" w:line="276" w:lineRule="auto"/>
        <w:textAlignment w:val="baseline"/>
        <w:rPr>
          <w:rFonts w:asciiTheme="majorHAnsi" w:hAnsiTheme="majorHAnsi" w:cs="Arial"/>
          <w:color w:val="auto"/>
          <w:szCs w:val="24"/>
          <w:shd w:val="clear" w:color="auto" w:fill="FFFFFF"/>
        </w:rPr>
      </w:pPr>
      <w:r w:rsidRPr="001471B0">
        <w:rPr>
          <w:rFonts w:asciiTheme="majorHAnsi" w:hAnsiTheme="majorHAnsi" w:cs="Arial"/>
          <w:color w:val="auto"/>
          <w:szCs w:val="24"/>
          <w:shd w:val="clear" w:color="auto" w:fill="FFFFFF"/>
        </w:rPr>
        <w:t xml:space="preserve">Donations through collection tins and </w:t>
      </w:r>
      <w:r w:rsidR="001471B0">
        <w:rPr>
          <w:rFonts w:asciiTheme="majorHAnsi" w:hAnsiTheme="majorHAnsi" w:cs="Arial"/>
          <w:color w:val="auto"/>
          <w:szCs w:val="24"/>
          <w:shd w:val="clear" w:color="auto" w:fill="FFFFFF"/>
        </w:rPr>
        <w:t xml:space="preserve">online </w:t>
      </w:r>
      <w:r w:rsidRPr="001471B0">
        <w:rPr>
          <w:rFonts w:asciiTheme="majorHAnsi" w:hAnsiTheme="majorHAnsi" w:cs="Arial"/>
          <w:color w:val="auto"/>
          <w:szCs w:val="24"/>
          <w:shd w:val="clear" w:color="auto" w:fill="FFFFFF"/>
        </w:rPr>
        <w:t>platforms</w:t>
      </w:r>
      <w:r w:rsidR="001471B0">
        <w:rPr>
          <w:rFonts w:asciiTheme="majorHAnsi" w:hAnsiTheme="majorHAnsi" w:cs="Arial"/>
          <w:color w:val="auto"/>
          <w:szCs w:val="24"/>
          <w:shd w:val="clear" w:color="auto" w:fill="FFFFFF"/>
        </w:rPr>
        <w:t xml:space="preserve"> </w:t>
      </w:r>
      <w:r w:rsidRPr="001471B0">
        <w:rPr>
          <w:rFonts w:asciiTheme="majorHAnsi" w:hAnsiTheme="majorHAnsi" w:cs="Arial"/>
          <w:color w:val="auto"/>
          <w:szCs w:val="24"/>
          <w:shd w:val="clear" w:color="auto" w:fill="FFFFFF"/>
        </w:rPr>
        <w:t>are often anonymous and any donor may remain anony</w:t>
      </w:r>
      <w:r w:rsidR="001471B0">
        <w:rPr>
          <w:rFonts w:asciiTheme="majorHAnsi" w:hAnsiTheme="majorHAnsi" w:cs="Arial"/>
          <w:color w:val="auto"/>
          <w:szCs w:val="24"/>
          <w:shd w:val="clear" w:color="auto" w:fill="FFFFFF"/>
        </w:rPr>
        <w:t>m</w:t>
      </w:r>
      <w:r w:rsidRPr="001471B0">
        <w:rPr>
          <w:rFonts w:asciiTheme="majorHAnsi" w:hAnsiTheme="majorHAnsi" w:cs="Arial"/>
          <w:color w:val="auto"/>
          <w:szCs w:val="24"/>
          <w:shd w:val="clear" w:color="auto" w:fill="FFFFFF"/>
        </w:rPr>
        <w:t>ous if he or she chooses to.  The Charity Commission 'know your' donor principle does not mean charities cannot accept </w:t>
      </w:r>
      <w:r w:rsidRPr="001471B0">
        <w:rPr>
          <w:rFonts w:asciiTheme="majorHAnsi" w:hAnsiTheme="majorHAnsi"/>
          <w:color w:val="auto"/>
          <w:szCs w:val="24"/>
        </w:rPr>
        <w:t>anonymous donations</w:t>
      </w:r>
      <w:r w:rsidR="001471B0">
        <w:rPr>
          <w:rFonts w:asciiTheme="majorHAnsi" w:hAnsiTheme="majorHAnsi"/>
          <w:color w:val="auto"/>
          <w:szCs w:val="24"/>
        </w:rPr>
        <w:t xml:space="preserve"> and doing </w:t>
      </w:r>
      <w:r w:rsidR="001471B0" w:rsidRPr="001471B0">
        <w:rPr>
          <w:rFonts w:asciiTheme="majorHAnsi" w:hAnsiTheme="majorHAnsi" w:cs="Arial"/>
          <w:color w:val="auto"/>
          <w:szCs w:val="24"/>
          <w:shd w:val="clear" w:color="auto" w:fill="FFFFFF"/>
        </w:rPr>
        <w:t>so is perfectly acceptable providing charities look out for suspicious circumstances and put adequate safeguards in place.</w:t>
      </w:r>
    </w:p>
    <w:p w14:paraId="25F41FEB" w14:textId="0B8CC8B5" w:rsidR="00762CE2" w:rsidRDefault="00762CE2" w:rsidP="00A96691">
      <w:pPr>
        <w:spacing w:beforeAutospacing="1" w:afterAutospacing="1" w:line="276" w:lineRule="auto"/>
        <w:textAlignment w:val="baseline"/>
        <w:rPr>
          <w:rFonts w:asciiTheme="majorHAnsi" w:hAnsiTheme="majorHAnsi" w:cs="Arial"/>
          <w:color w:val="auto"/>
          <w:szCs w:val="24"/>
          <w:shd w:val="clear" w:color="auto" w:fill="FFFFFF"/>
        </w:rPr>
      </w:pPr>
      <w:r w:rsidRPr="001471B0">
        <w:rPr>
          <w:rFonts w:asciiTheme="majorHAnsi" w:hAnsiTheme="majorHAnsi" w:cs="Arial"/>
          <w:color w:val="auto"/>
          <w:szCs w:val="24"/>
          <w:shd w:val="clear" w:color="auto" w:fill="FFFFFF"/>
        </w:rPr>
        <w:t xml:space="preserve">Trustees </w:t>
      </w:r>
      <w:r w:rsidR="001471B0">
        <w:rPr>
          <w:rFonts w:asciiTheme="majorHAnsi" w:hAnsiTheme="majorHAnsi" w:cs="Arial"/>
          <w:color w:val="auto"/>
          <w:szCs w:val="24"/>
          <w:shd w:val="clear" w:color="auto" w:fill="FFFFFF"/>
        </w:rPr>
        <w:t>will t</w:t>
      </w:r>
      <w:r w:rsidRPr="001471B0">
        <w:rPr>
          <w:rFonts w:asciiTheme="majorHAnsi" w:hAnsiTheme="majorHAnsi" w:cs="Arial"/>
          <w:color w:val="auto"/>
          <w:szCs w:val="24"/>
          <w:shd w:val="clear" w:color="auto" w:fill="FFFFFF"/>
        </w:rPr>
        <w:t>ake reasonable and appropriate steps to know who the charity's donors are</w:t>
      </w:r>
      <w:r w:rsidR="001471B0">
        <w:rPr>
          <w:rFonts w:asciiTheme="majorHAnsi" w:hAnsiTheme="majorHAnsi" w:cs="Arial"/>
          <w:color w:val="auto"/>
          <w:szCs w:val="24"/>
          <w:shd w:val="clear" w:color="auto" w:fill="FFFFFF"/>
        </w:rPr>
        <w:t xml:space="preserve"> and will not accept a donation where the risk to the charity is assessed to be greater than the benefit of having the funds donated.  There can be no absolute guide to what may be suspicious, but indicators are </w:t>
      </w:r>
      <w:r w:rsidRPr="001471B0">
        <w:rPr>
          <w:rFonts w:asciiTheme="majorHAnsi" w:hAnsiTheme="majorHAnsi" w:cs="Arial"/>
          <w:color w:val="auto"/>
          <w:szCs w:val="24"/>
          <w:shd w:val="clear" w:color="auto" w:fill="FFFFFF"/>
        </w:rPr>
        <w:t>where significant sums are being donated</w:t>
      </w:r>
      <w:r w:rsidR="001471B0">
        <w:rPr>
          <w:rFonts w:asciiTheme="majorHAnsi" w:hAnsiTheme="majorHAnsi" w:cs="Arial"/>
          <w:color w:val="auto"/>
          <w:szCs w:val="24"/>
          <w:shd w:val="clear" w:color="auto" w:fill="FFFFFF"/>
        </w:rPr>
        <w:t xml:space="preserve">, particularly if this is unusual, in cash or from overseas.  Any prospective donor who wishes cash to be forwarded in advance or for the charity to pay some of the donation to a third party will always be considered highly suspicious. </w:t>
      </w:r>
    </w:p>
    <w:p w14:paraId="32FC868C" w14:textId="3FB9D6F7" w:rsidR="001471B0" w:rsidRPr="001471B0" w:rsidRDefault="001471B0" w:rsidP="00A96691">
      <w:pPr>
        <w:spacing w:beforeAutospacing="1" w:afterAutospacing="1" w:line="276" w:lineRule="auto"/>
        <w:textAlignment w:val="baseline"/>
        <w:rPr>
          <w:rFonts w:asciiTheme="majorHAnsi" w:hAnsiTheme="majorHAnsi" w:cs="Arial"/>
          <w:color w:val="auto"/>
          <w:szCs w:val="24"/>
          <w:shd w:val="clear" w:color="auto" w:fill="FFFFFF"/>
        </w:rPr>
      </w:pPr>
      <w:r>
        <w:rPr>
          <w:rFonts w:asciiTheme="majorHAnsi" w:hAnsiTheme="majorHAnsi" w:cs="Arial"/>
          <w:color w:val="auto"/>
          <w:szCs w:val="24"/>
          <w:shd w:val="clear" w:color="auto" w:fill="FFFFFF"/>
        </w:rPr>
        <w:lastRenderedPageBreak/>
        <w:t xml:space="preserve">The trustees will consider reporting suspicious donations as a Charity Commission Incident report. </w:t>
      </w:r>
    </w:p>
    <w:p w14:paraId="4AC9DBB3" w14:textId="7AF50CAC" w:rsidR="00EB6C86" w:rsidRPr="00067311" w:rsidRDefault="00EB6C86" w:rsidP="00A96691">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Refusal of Donations</w:t>
      </w:r>
    </w:p>
    <w:p w14:paraId="3CFE37AC" w14:textId="77777777" w:rsidR="00EB6C86" w:rsidRPr="00A363AF" w:rsidRDefault="00EB6C86" w:rsidP="00A96691">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We will not accept a donation where there are reasonable grounds to believe:</w:t>
      </w:r>
    </w:p>
    <w:p w14:paraId="23BB1D2A" w14:textId="77777777" w:rsidR="00EE6233" w:rsidRDefault="00EE6233"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Pr>
          <w:rFonts w:asciiTheme="majorHAnsi" w:hAnsiTheme="majorHAnsi" w:cstheme="majorHAnsi"/>
          <w:color w:val="auto"/>
          <w:sz w:val="24"/>
          <w:szCs w:val="24"/>
        </w:rPr>
        <w:t>The activities being funded would fall outside of our charitable object(s).</w:t>
      </w:r>
    </w:p>
    <w:p w14:paraId="7FAA8C8F" w14:textId="4A2C6212" w:rsidR="00EB6C86" w:rsidRPr="00A363AF" w:rsidRDefault="00EB6C86"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 xml:space="preserve">The individual or organisation holds </w:t>
      </w:r>
      <w:r w:rsidR="00C9135E" w:rsidRPr="00A363AF">
        <w:rPr>
          <w:rFonts w:asciiTheme="majorHAnsi" w:hAnsiTheme="majorHAnsi" w:cstheme="majorHAnsi"/>
          <w:color w:val="auto"/>
          <w:sz w:val="24"/>
          <w:szCs w:val="24"/>
        </w:rPr>
        <w:t>views or</w:t>
      </w:r>
      <w:r w:rsidRPr="00A363AF">
        <w:rPr>
          <w:rFonts w:asciiTheme="majorHAnsi" w:hAnsiTheme="majorHAnsi" w:cstheme="majorHAnsi"/>
          <w:color w:val="auto"/>
          <w:sz w:val="24"/>
          <w:szCs w:val="24"/>
        </w:rPr>
        <w:t xml:space="preserve"> is involved in activities incompatible with our values as a charity.</w:t>
      </w:r>
    </w:p>
    <w:p w14:paraId="4CDF4A4D" w14:textId="77777777" w:rsidR="00EB6C86" w:rsidRPr="00A363AF" w:rsidRDefault="00EB6C86"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The donation may be an attempted scam, or to launder money or evade tax, or is in some other way illegal.</w:t>
      </w:r>
    </w:p>
    <w:p w14:paraId="2D324BA8" w14:textId="77777777" w:rsidR="00EB6C86" w:rsidRDefault="00EB6C86"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There may be private benefit linked to the donation, such as an obligation to purchase goods or services form a specified company.</w:t>
      </w:r>
    </w:p>
    <w:p w14:paraId="051369C8" w14:textId="7E0ADE7C" w:rsidR="00EE6233" w:rsidRPr="00A363AF" w:rsidRDefault="00EE6233"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Pr>
          <w:rFonts w:asciiTheme="majorHAnsi" w:hAnsiTheme="majorHAnsi" w:cstheme="majorHAnsi"/>
          <w:color w:val="auto"/>
          <w:sz w:val="24"/>
          <w:szCs w:val="24"/>
        </w:rPr>
        <w:t>May result in a valid legal claim or risk of a claim against our charity.</w:t>
      </w:r>
    </w:p>
    <w:p w14:paraId="7D8D4425" w14:textId="77777777" w:rsidR="00EB6C86" w:rsidRPr="00A363AF" w:rsidRDefault="00EB6C86"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Conditions attached to the donation are so inflexible that they undermine our independence.</w:t>
      </w:r>
    </w:p>
    <w:p w14:paraId="2F7C30A9" w14:textId="77777777" w:rsidR="00EB6C86" w:rsidRPr="00A363AF" w:rsidRDefault="00EB6C86" w:rsidP="00A96691">
      <w:pPr>
        <w:pStyle w:val="ListParagraph"/>
        <w:numPr>
          <w:ilvl w:val="1"/>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Or are so onerous as to compromise our effectiveness.</w:t>
      </w:r>
    </w:p>
    <w:p w14:paraId="4A63888E" w14:textId="77777777" w:rsidR="00EB6C86" w:rsidRPr="00A363AF" w:rsidRDefault="00EB6C86" w:rsidP="00A96691">
      <w:pPr>
        <w:pStyle w:val="ListParagraph"/>
        <w:numPr>
          <w:ilvl w:val="1"/>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 xml:space="preserve">Or restrict who may benefit to the extent of undermining our public benefit obligation. </w:t>
      </w:r>
    </w:p>
    <w:p w14:paraId="677A7C29" w14:textId="50B725CD" w:rsidR="00EB6C86" w:rsidRDefault="00EB6C86" w:rsidP="00A96691">
      <w:pPr>
        <w:pStyle w:val="ListParagraph"/>
        <w:numPr>
          <w:ilvl w:val="0"/>
          <w:numId w:val="28"/>
        </w:numPr>
        <w:spacing w:beforeAutospacing="1" w:afterAutospacing="1"/>
        <w:textAlignment w:val="baseline"/>
        <w:rPr>
          <w:rFonts w:asciiTheme="majorHAnsi" w:hAnsiTheme="majorHAnsi" w:cstheme="majorHAnsi"/>
          <w:color w:val="auto"/>
          <w:sz w:val="24"/>
          <w:szCs w:val="24"/>
        </w:rPr>
      </w:pPr>
      <w:r w:rsidRPr="00A363AF">
        <w:rPr>
          <w:rFonts w:asciiTheme="majorHAnsi" w:hAnsiTheme="majorHAnsi" w:cstheme="majorHAnsi"/>
          <w:color w:val="auto"/>
          <w:sz w:val="24"/>
          <w:szCs w:val="24"/>
        </w:rPr>
        <w:t xml:space="preserve">The cost of accepting the donation would exceed its value.  </w:t>
      </w:r>
    </w:p>
    <w:p w14:paraId="3CE4CAC2" w14:textId="77777777" w:rsidR="007269E0" w:rsidRPr="007269E0" w:rsidRDefault="007269E0" w:rsidP="007269E0">
      <w:pPr>
        <w:spacing w:before="100" w:beforeAutospacing="1" w:after="100" w:afterAutospacing="1"/>
        <w:textAlignment w:val="baseline"/>
        <w:rPr>
          <w:rFonts w:ascii="Century Gothic" w:hAnsi="Century Gothic"/>
          <w:b/>
          <w:bCs/>
          <w:color w:val="1F4E79" w:themeColor="accent5" w:themeShade="80"/>
          <w:sz w:val="28"/>
          <w:szCs w:val="28"/>
        </w:rPr>
      </w:pPr>
      <w:r w:rsidRPr="007269E0">
        <w:rPr>
          <w:rFonts w:ascii="Century Gothic" w:hAnsi="Century Gothic"/>
          <w:b/>
          <w:bCs/>
          <w:color w:val="1F4E79" w:themeColor="accent5" w:themeShade="80"/>
          <w:sz w:val="28"/>
          <w:szCs w:val="28"/>
        </w:rPr>
        <w:t>Donor Recognition &amp; Private Benefit</w:t>
      </w:r>
    </w:p>
    <w:p w14:paraId="30435031" w14:textId="77777777" w:rsidR="007269E0" w:rsidRPr="007269E0" w:rsidRDefault="007269E0" w:rsidP="007269E0">
      <w:pPr>
        <w:spacing w:beforeAutospacing="1" w:afterAutospacing="1"/>
        <w:textAlignment w:val="baseline"/>
        <w:rPr>
          <w:rFonts w:asciiTheme="majorHAnsi" w:hAnsiTheme="majorHAnsi"/>
          <w:color w:val="auto"/>
          <w:szCs w:val="24"/>
        </w:rPr>
      </w:pPr>
      <w:r w:rsidRPr="007269E0">
        <w:rPr>
          <w:rFonts w:asciiTheme="majorHAnsi" w:hAnsiTheme="majorHAnsi"/>
          <w:color w:val="auto"/>
          <w:szCs w:val="24"/>
        </w:rPr>
        <w:t xml:space="preserve">We welcome donations from commercial organisations, but will not accept donations </w:t>
      </w:r>
      <w:proofErr w:type="gramStart"/>
      <w:r w:rsidRPr="007269E0">
        <w:rPr>
          <w:rFonts w:asciiTheme="majorHAnsi" w:hAnsiTheme="majorHAnsi"/>
          <w:color w:val="auto"/>
          <w:szCs w:val="24"/>
        </w:rPr>
        <w:t>where</w:t>
      </w:r>
      <w:proofErr w:type="gramEnd"/>
      <w:r w:rsidRPr="007269E0">
        <w:rPr>
          <w:rFonts w:asciiTheme="majorHAnsi" w:hAnsiTheme="majorHAnsi"/>
          <w:color w:val="auto"/>
          <w:szCs w:val="24"/>
        </w:rPr>
        <w:t xml:space="preserve">, in the view of the trustees, the purpose might reasonably </w:t>
      </w:r>
      <w:proofErr w:type="gramStart"/>
      <w:r w:rsidRPr="007269E0">
        <w:rPr>
          <w:rFonts w:asciiTheme="majorHAnsi" w:hAnsiTheme="majorHAnsi"/>
          <w:color w:val="auto"/>
          <w:szCs w:val="24"/>
        </w:rPr>
        <w:t>be considered to be</w:t>
      </w:r>
      <w:proofErr w:type="gramEnd"/>
      <w:r w:rsidRPr="007269E0">
        <w:rPr>
          <w:rFonts w:asciiTheme="majorHAnsi" w:hAnsiTheme="majorHAnsi"/>
          <w:color w:val="auto"/>
          <w:szCs w:val="24"/>
        </w:rPr>
        <w:t xml:space="preserve"> for commercial gain.  That is, by enabling the company to use its connection to the charity to market itself to its customers and the public as ethical and an active supporter of our work, when it is not.  For example, by promoting its support for our work when its own working practices, products or services do not reflect our values and activities. </w:t>
      </w:r>
    </w:p>
    <w:p w14:paraId="216827DE" w14:textId="77777777" w:rsidR="007269E0" w:rsidRPr="007269E0" w:rsidRDefault="007269E0" w:rsidP="007269E0">
      <w:pPr>
        <w:spacing w:before="100" w:beforeAutospacing="1" w:after="100" w:afterAutospacing="1"/>
        <w:textAlignment w:val="baseline"/>
        <w:rPr>
          <w:rFonts w:asciiTheme="majorHAnsi" w:hAnsiTheme="majorHAnsi"/>
          <w:color w:val="auto"/>
          <w:szCs w:val="24"/>
        </w:rPr>
      </w:pPr>
      <w:r w:rsidRPr="007269E0">
        <w:rPr>
          <w:rFonts w:asciiTheme="majorHAnsi" w:hAnsiTheme="majorHAnsi"/>
          <w:color w:val="auto"/>
          <w:szCs w:val="24"/>
        </w:rPr>
        <w:t xml:space="preserve">The recognition given to donors will be no more than the normal thanks provided to any other similar donor.  Nothing in addition to this is either expected or has been asked for – we can be confident that any private benefit will be no more than incidental. </w:t>
      </w:r>
    </w:p>
    <w:p w14:paraId="2144436D" w14:textId="4036BE07" w:rsidR="00A359EF" w:rsidRDefault="00A359EF" w:rsidP="00D4228D">
      <w:pPr>
        <w:spacing w:before="100" w:beforeAutospacing="1" w:after="100" w:afterAutospacing="1"/>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Charity Commission Guidance and Approval</w:t>
      </w:r>
    </w:p>
    <w:p w14:paraId="09ED909E" w14:textId="4BDEAA5B" w:rsidR="00A359EF" w:rsidRPr="00A359EF" w:rsidRDefault="00A359EF" w:rsidP="00A359EF">
      <w:pPr>
        <w:pStyle w:val="ListParagraph"/>
        <w:numPr>
          <w:ilvl w:val="0"/>
          <w:numId w:val="35"/>
        </w:numPr>
        <w:tabs>
          <w:tab w:val="num" w:pos="720"/>
        </w:tabs>
        <w:spacing w:before="100" w:beforeAutospacing="1" w:after="100" w:afterAutospacing="1"/>
        <w:textAlignment w:val="baseline"/>
        <w:rPr>
          <w:rFonts w:asciiTheme="majorHAnsi" w:hAnsiTheme="majorHAnsi"/>
          <w:color w:val="auto"/>
          <w:sz w:val="24"/>
          <w:szCs w:val="24"/>
        </w:rPr>
      </w:pPr>
      <w:r w:rsidRPr="00A359EF">
        <w:rPr>
          <w:rFonts w:asciiTheme="majorHAnsi" w:hAnsiTheme="majorHAnsi"/>
          <w:color w:val="auto"/>
          <w:sz w:val="24"/>
          <w:szCs w:val="24"/>
        </w:rPr>
        <w:t>For complex or high-risk decisions about donations, trustees can apply to the Charity Commission E&amp;W for formal advice; and</w:t>
      </w:r>
    </w:p>
    <w:p w14:paraId="79D1C45A" w14:textId="2B52A8D6" w:rsidR="00A359EF" w:rsidRPr="00A359EF" w:rsidRDefault="00A359EF" w:rsidP="00A359EF">
      <w:pPr>
        <w:pStyle w:val="ListParagraph"/>
        <w:numPr>
          <w:ilvl w:val="0"/>
          <w:numId w:val="35"/>
        </w:numPr>
        <w:tabs>
          <w:tab w:val="num" w:pos="720"/>
        </w:tabs>
        <w:spacing w:before="100" w:beforeAutospacing="1" w:after="100" w:afterAutospacing="1"/>
        <w:textAlignment w:val="baseline"/>
        <w:rPr>
          <w:rFonts w:asciiTheme="majorHAnsi" w:hAnsiTheme="majorHAnsi"/>
          <w:color w:val="auto"/>
          <w:sz w:val="24"/>
          <w:szCs w:val="24"/>
        </w:rPr>
      </w:pPr>
      <w:r w:rsidRPr="00A359EF">
        <w:rPr>
          <w:rFonts w:asciiTheme="majorHAnsi" w:hAnsiTheme="majorHAnsi"/>
          <w:color w:val="auto"/>
          <w:sz w:val="24"/>
          <w:szCs w:val="24"/>
        </w:rPr>
        <w:t>Where trustees have a moral obligation to refuse/return items or funds, they must use the ex-gratia regime including seeking consent from the Commission, rather than using the wider power to return donations referenced in the guidance.</w:t>
      </w:r>
    </w:p>
    <w:p w14:paraId="452F8881" w14:textId="77777777" w:rsidR="00A359EF" w:rsidRDefault="00A359EF" w:rsidP="00D4228D">
      <w:pPr>
        <w:spacing w:before="100" w:beforeAutospacing="1" w:after="100" w:afterAutospacing="1"/>
        <w:textAlignment w:val="baseline"/>
        <w:rPr>
          <w:rFonts w:ascii="Century Gothic" w:hAnsi="Century Gothic"/>
          <w:b/>
          <w:bCs/>
          <w:color w:val="1F4E79" w:themeColor="accent5" w:themeShade="80"/>
          <w:sz w:val="28"/>
          <w:szCs w:val="28"/>
        </w:rPr>
      </w:pPr>
    </w:p>
    <w:p w14:paraId="6AAF7F77" w14:textId="52DB6145" w:rsidR="00D4228D" w:rsidRPr="00D4228D" w:rsidRDefault="00D4228D" w:rsidP="00D4228D">
      <w:pPr>
        <w:spacing w:before="100" w:beforeAutospacing="1" w:after="100" w:afterAutospacing="1"/>
        <w:textAlignment w:val="baseline"/>
        <w:rPr>
          <w:rFonts w:ascii="Century Gothic" w:hAnsi="Century Gothic"/>
          <w:b/>
          <w:bCs/>
          <w:color w:val="1F4E79" w:themeColor="accent5" w:themeShade="80"/>
          <w:sz w:val="28"/>
          <w:szCs w:val="28"/>
        </w:rPr>
      </w:pPr>
      <w:r w:rsidRPr="00D4228D">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4"/>
        <w:gridCol w:w="1359"/>
        <w:gridCol w:w="1235"/>
        <w:gridCol w:w="4049"/>
        <w:gridCol w:w="1433"/>
      </w:tblGrid>
      <w:tr w:rsidR="00D4228D" w14:paraId="0A5EC437" w14:textId="77777777" w:rsidTr="00A359EF">
        <w:tc>
          <w:tcPr>
            <w:tcW w:w="9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B9EEB1"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3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06F3D0"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3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C4418A"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404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130FD8"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43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539A9A"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D4228D" w14:paraId="49CF4A50" w14:textId="77777777" w:rsidTr="00A359EF">
        <w:tc>
          <w:tcPr>
            <w:tcW w:w="984" w:type="dxa"/>
            <w:tcBorders>
              <w:top w:val="single" w:sz="4" w:space="0" w:color="auto"/>
              <w:left w:val="single" w:sz="4" w:space="0" w:color="auto"/>
              <w:bottom w:val="single" w:sz="4" w:space="0" w:color="auto"/>
              <w:right w:val="single" w:sz="4" w:space="0" w:color="auto"/>
            </w:tcBorders>
            <w:vAlign w:val="center"/>
            <w:hideMark/>
          </w:tcPr>
          <w:p w14:paraId="709A2348"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1.0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64486EED"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Board</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9D457FC" w14:textId="1B348D21" w:rsidR="00D4228D" w:rsidRPr="00BF10FC" w:rsidRDefault="00940E3A" w:rsidP="001A6B09">
            <w:pPr>
              <w:spacing w:line="276" w:lineRule="auto"/>
              <w:jc w:val="center"/>
              <w:rPr>
                <w:rFonts w:asciiTheme="majorHAnsi" w:hAnsiTheme="majorHAnsi"/>
                <w:color w:val="auto"/>
              </w:rPr>
            </w:pPr>
            <w:r>
              <w:rPr>
                <w:rFonts w:asciiTheme="majorHAnsi" w:hAnsiTheme="majorHAnsi"/>
                <w:color w:val="auto"/>
              </w:rPr>
              <w:t>Feb 23</w:t>
            </w:r>
          </w:p>
        </w:tc>
        <w:tc>
          <w:tcPr>
            <w:tcW w:w="4049" w:type="dxa"/>
            <w:tcBorders>
              <w:top w:val="single" w:sz="4" w:space="0" w:color="auto"/>
              <w:left w:val="single" w:sz="4" w:space="0" w:color="auto"/>
              <w:bottom w:val="single" w:sz="4" w:space="0" w:color="auto"/>
              <w:right w:val="single" w:sz="4" w:space="0" w:color="auto"/>
            </w:tcBorders>
            <w:vAlign w:val="center"/>
          </w:tcPr>
          <w:p w14:paraId="724028DF"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Initial draft approved</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26CFA69"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Annually</w:t>
            </w:r>
          </w:p>
        </w:tc>
      </w:tr>
      <w:tr w:rsidR="00D4228D" w14:paraId="5763B2B0" w14:textId="77777777" w:rsidTr="00A359EF">
        <w:tc>
          <w:tcPr>
            <w:tcW w:w="984" w:type="dxa"/>
            <w:tcBorders>
              <w:top w:val="single" w:sz="4" w:space="0" w:color="auto"/>
              <w:left w:val="single" w:sz="4" w:space="0" w:color="auto"/>
              <w:bottom w:val="single" w:sz="4" w:space="0" w:color="auto"/>
              <w:right w:val="single" w:sz="4" w:space="0" w:color="auto"/>
            </w:tcBorders>
            <w:vAlign w:val="center"/>
          </w:tcPr>
          <w:p w14:paraId="3062B36F" w14:textId="77777777" w:rsidR="00D4228D" w:rsidRPr="00EE644F" w:rsidRDefault="00D4228D" w:rsidP="001A6B09">
            <w:pPr>
              <w:spacing w:line="276" w:lineRule="auto"/>
              <w:jc w:val="center"/>
              <w:rPr>
                <w:rFonts w:ascii="Corbel Light" w:hAnsi="Corbel Light"/>
                <w:color w:val="auto"/>
              </w:rPr>
            </w:pPr>
          </w:p>
        </w:tc>
        <w:tc>
          <w:tcPr>
            <w:tcW w:w="1359" w:type="dxa"/>
            <w:tcBorders>
              <w:top w:val="single" w:sz="4" w:space="0" w:color="auto"/>
              <w:left w:val="single" w:sz="4" w:space="0" w:color="auto"/>
              <w:bottom w:val="single" w:sz="4" w:space="0" w:color="auto"/>
              <w:right w:val="single" w:sz="4" w:space="0" w:color="auto"/>
            </w:tcBorders>
            <w:vAlign w:val="center"/>
          </w:tcPr>
          <w:p w14:paraId="558A7108" w14:textId="77777777" w:rsidR="00D4228D" w:rsidRPr="00EE644F" w:rsidRDefault="00D4228D" w:rsidP="001A6B09">
            <w:pPr>
              <w:spacing w:line="276" w:lineRule="auto"/>
              <w:jc w:val="center"/>
              <w:rPr>
                <w:rFonts w:ascii="Corbel Light" w:hAnsi="Corbel Light"/>
                <w:color w:val="auto"/>
              </w:rPr>
            </w:pPr>
          </w:p>
        </w:tc>
        <w:tc>
          <w:tcPr>
            <w:tcW w:w="1235" w:type="dxa"/>
            <w:tcBorders>
              <w:top w:val="single" w:sz="4" w:space="0" w:color="auto"/>
              <w:left w:val="single" w:sz="4" w:space="0" w:color="auto"/>
              <w:bottom w:val="single" w:sz="4" w:space="0" w:color="auto"/>
              <w:right w:val="single" w:sz="4" w:space="0" w:color="auto"/>
            </w:tcBorders>
            <w:vAlign w:val="center"/>
          </w:tcPr>
          <w:p w14:paraId="3B1F133A" w14:textId="7323CED8" w:rsidR="00D4228D" w:rsidRPr="00FF215E" w:rsidRDefault="00FF215E" w:rsidP="001A6B09">
            <w:pPr>
              <w:spacing w:line="276" w:lineRule="auto"/>
              <w:jc w:val="center"/>
              <w:rPr>
                <w:rFonts w:asciiTheme="majorHAnsi" w:hAnsiTheme="majorHAnsi"/>
                <w:color w:val="auto"/>
              </w:rPr>
            </w:pPr>
            <w:r w:rsidRPr="00FF215E">
              <w:rPr>
                <w:rFonts w:asciiTheme="majorHAnsi" w:hAnsiTheme="majorHAnsi"/>
                <w:color w:val="auto"/>
              </w:rPr>
              <w:t>Mar 24</w:t>
            </w:r>
          </w:p>
        </w:tc>
        <w:tc>
          <w:tcPr>
            <w:tcW w:w="4049" w:type="dxa"/>
            <w:tcBorders>
              <w:top w:val="single" w:sz="4" w:space="0" w:color="auto"/>
              <w:left w:val="single" w:sz="4" w:space="0" w:color="auto"/>
              <w:bottom w:val="single" w:sz="4" w:space="0" w:color="auto"/>
              <w:right w:val="single" w:sz="4" w:space="0" w:color="auto"/>
            </w:tcBorders>
            <w:vAlign w:val="center"/>
          </w:tcPr>
          <w:p w14:paraId="32317150" w14:textId="05E7212D" w:rsidR="00D4228D" w:rsidRPr="00FF215E" w:rsidRDefault="00FF215E" w:rsidP="001A6B09">
            <w:pPr>
              <w:spacing w:line="276" w:lineRule="auto"/>
              <w:jc w:val="center"/>
              <w:rPr>
                <w:rFonts w:asciiTheme="majorHAnsi" w:hAnsiTheme="majorHAnsi"/>
                <w:color w:val="auto"/>
              </w:rPr>
            </w:pPr>
            <w:r w:rsidRPr="00FF215E">
              <w:rPr>
                <w:rFonts w:asciiTheme="majorHAnsi" w:hAnsiTheme="majorHAnsi"/>
                <w:color w:val="auto"/>
              </w:rPr>
              <w:t>New CC E&amp;W guidance</w:t>
            </w:r>
          </w:p>
        </w:tc>
        <w:tc>
          <w:tcPr>
            <w:tcW w:w="1433" w:type="dxa"/>
            <w:tcBorders>
              <w:top w:val="single" w:sz="4" w:space="0" w:color="auto"/>
              <w:left w:val="single" w:sz="4" w:space="0" w:color="auto"/>
              <w:bottom w:val="single" w:sz="4" w:space="0" w:color="auto"/>
              <w:right w:val="single" w:sz="4" w:space="0" w:color="auto"/>
            </w:tcBorders>
            <w:vAlign w:val="center"/>
          </w:tcPr>
          <w:p w14:paraId="2DD4CA5A" w14:textId="77777777" w:rsidR="00D4228D" w:rsidRPr="00EE644F" w:rsidRDefault="00D4228D" w:rsidP="001A6B09">
            <w:pPr>
              <w:spacing w:line="276" w:lineRule="auto"/>
              <w:jc w:val="center"/>
              <w:rPr>
                <w:rFonts w:ascii="Corbel Light" w:hAnsi="Corbel Light"/>
                <w:color w:val="auto"/>
              </w:rPr>
            </w:pPr>
          </w:p>
        </w:tc>
      </w:tr>
      <w:tr w:rsidR="00A359EF" w14:paraId="430D2840" w14:textId="77777777" w:rsidTr="00A359EF">
        <w:tc>
          <w:tcPr>
            <w:tcW w:w="984" w:type="dxa"/>
            <w:tcBorders>
              <w:top w:val="single" w:sz="4" w:space="0" w:color="auto"/>
              <w:left w:val="single" w:sz="4" w:space="0" w:color="auto"/>
              <w:bottom w:val="single" w:sz="4" w:space="0" w:color="auto"/>
              <w:right w:val="single" w:sz="4" w:space="0" w:color="auto"/>
            </w:tcBorders>
            <w:vAlign w:val="center"/>
          </w:tcPr>
          <w:p w14:paraId="7C97A66B" w14:textId="77777777" w:rsidR="00A359EF" w:rsidRPr="00EE644F" w:rsidRDefault="00A359EF" w:rsidP="001A6B09">
            <w:pPr>
              <w:spacing w:line="276" w:lineRule="auto"/>
              <w:jc w:val="center"/>
              <w:rPr>
                <w:rFonts w:ascii="Corbel Light" w:hAnsi="Corbel Light"/>
                <w:color w:val="auto"/>
              </w:rPr>
            </w:pPr>
          </w:p>
        </w:tc>
        <w:tc>
          <w:tcPr>
            <w:tcW w:w="1359" w:type="dxa"/>
            <w:tcBorders>
              <w:top w:val="single" w:sz="4" w:space="0" w:color="auto"/>
              <w:left w:val="single" w:sz="4" w:space="0" w:color="auto"/>
              <w:bottom w:val="single" w:sz="4" w:space="0" w:color="auto"/>
              <w:right w:val="single" w:sz="4" w:space="0" w:color="auto"/>
            </w:tcBorders>
            <w:vAlign w:val="center"/>
          </w:tcPr>
          <w:p w14:paraId="60D850B4" w14:textId="77777777" w:rsidR="00A359EF" w:rsidRPr="00EE644F" w:rsidRDefault="00A359EF" w:rsidP="001A6B09">
            <w:pPr>
              <w:spacing w:line="276" w:lineRule="auto"/>
              <w:jc w:val="center"/>
              <w:rPr>
                <w:rFonts w:ascii="Corbel Light" w:hAnsi="Corbel Light"/>
                <w:color w:val="auto"/>
              </w:rPr>
            </w:pPr>
          </w:p>
        </w:tc>
        <w:tc>
          <w:tcPr>
            <w:tcW w:w="1235" w:type="dxa"/>
            <w:tcBorders>
              <w:top w:val="single" w:sz="4" w:space="0" w:color="auto"/>
              <w:left w:val="single" w:sz="4" w:space="0" w:color="auto"/>
              <w:bottom w:val="single" w:sz="4" w:space="0" w:color="auto"/>
              <w:right w:val="single" w:sz="4" w:space="0" w:color="auto"/>
            </w:tcBorders>
            <w:vAlign w:val="center"/>
          </w:tcPr>
          <w:p w14:paraId="659CF0B7" w14:textId="19F155FF" w:rsidR="00A359EF" w:rsidRPr="00FF215E" w:rsidRDefault="00A359EF" w:rsidP="001A6B09">
            <w:pPr>
              <w:spacing w:line="276" w:lineRule="auto"/>
              <w:jc w:val="center"/>
              <w:rPr>
                <w:rFonts w:asciiTheme="majorHAnsi" w:hAnsiTheme="majorHAnsi"/>
                <w:color w:val="auto"/>
              </w:rPr>
            </w:pPr>
            <w:r>
              <w:rPr>
                <w:rFonts w:asciiTheme="majorHAnsi" w:hAnsiTheme="majorHAnsi"/>
                <w:color w:val="auto"/>
              </w:rPr>
              <w:t>Oct 24</w:t>
            </w:r>
          </w:p>
        </w:tc>
        <w:tc>
          <w:tcPr>
            <w:tcW w:w="4049" w:type="dxa"/>
            <w:tcBorders>
              <w:top w:val="single" w:sz="4" w:space="0" w:color="auto"/>
              <w:left w:val="single" w:sz="4" w:space="0" w:color="auto"/>
              <w:bottom w:val="single" w:sz="4" w:space="0" w:color="auto"/>
              <w:right w:val="single" w:sz="4" w:space="0" w:color="auto"/>
            </w:tcBorders>
            <w:vAlign w:val="center"/>
          </w:tcPr>
          <w:p w14:paraId="50CB88D3" w14:textId="231EFE1A" w:rsidR="00A359EF" w:rsidRPr="00FF215E" w:rsidRDefault="00A359EF" w:rsidP="001A6B09">
            <w:pPr>
              <w:spacing w:line="276" w:lineRule="auto"/>
              <w:jc w:val="center"/>
              <w:rPr>
                <w:rFonts w:asciiTheme="majorHAnsi" w:hAnsiTheme="majorHAnsi"/>
                <w:color w:val="auto"/>
              </w:rPr>
            </w:pPr>
            <w:r>
              <w:rPr>
                <w:rFonts w:asciiTheme="majorHAnsi" w:hAnsiTheme="majorHAnsi"/>
                <w:color w:val="auto"/>
              </w:rPr>
              <w:t>CC Guidance &amp; approval section</w:t>
            </w:r>
          </w:p>
        </w:tc>
        <w:tc>
          <w:tcPr>
            <w:tcW w:w="1433" w:type="dxa"/>
            <w:tcBorders>
              <w:top w:val="single" w:sz="4" w:space="0" w:color="auto"/>
              <w:left w:val="single" w:sz="4" w:space="0" w:color="auto"/>
              <w:bottom w:val="single" w:sz="4" w:space="0" w:color="auto"/>
              <w:right w:val="single" w:sz="4" w:space="0" w:color="auto"/>
            </w:tcBorders>
            <w:vAlign w:val="center"/>
          </w:tcPr>
          <w:p w14:paraId="2B4CF985" w14:textId="77777777" w:rsidR="00A359EF" w:rsidRPr="00EE644F" w:rsidRDefault="00A359EF" w:rsidP="001A6B09">
            <w:pPr>
              <w:spacing w:line="276" w:lineRule="auto"/>
              <w:jc w:val="center"/>
              <w:rPr>
                <w:rFonts w:ascii="Corbel Light" w:hAnsi="Corbel Light"/>
                <w:color w:val="auto"/>
              </w:rPr>
            </w:pPr>
          </w:p>
        </w:tc>
      </w:tr>
    </w:tbl>
    <w:p w14:paraId="24A946BD" w14:textId="7B51449F" w:rsidR="00D4228D" w:rsidRPr="00067311" w:rsidRDefault="00D4228D" w:rsidP="00D4228D">
      <w:pPr>
        <w:spacing w:beforeAutospacing="1" w:afterAutospacing="1" w:line="276" w:lineRule="auto"/>
        <w:textAlignment w:val="baseline"/>
        <w:rPr>
          <w:rFonts w:ascii="Century Gothic" w:hAnsi="Century Gothic"/>
          <w:b/>
          <w:bCs/>
          <w:color w:val="002060"/>
          <w:sz w:val="28"/>
          <w:szCs w:val="28"/>
        </w:rPr>
      </w:pPr>
      <w:bookmarkStart w:id="0" w:name="_Hlk80076305"/>
      <w:r w:rsidRPr="00067311">
        <w:rPr>
          <w:rFonts w:ascii="Century Gothic" w:hAnsi="Century Gothic"/>
          <w:b/>
          <w:bCs/>
          <w:color w:val="002060"/>
          <w:sz w:val="28"/>
          <w:szCs w:val="28"/>
        </w:rPr>
        <w:t>Regulatory Guidance</w:t>
      </w:r>
    </w:p>
    <w:p w14:paraId="4248DEDF" w14:textId="77777777" w:rsidR="00CD4023" w:rsidRDefault="00CD4023" w:rsidP="00CD4023">
      <w:pPr>
        <w:pStyle w:val="ListParagraph"/>
        <w:numPr>
          <w:ilvl w:val="0"/>
          <w:numId w:val="29"/>
        </w:numPr>
        <w:spacing w:before="100" w:beforeAutospacing="1" w:after="100" w:afterAutospacing="1"/>
        <w:textAlignment w:val="baseline"/>
        <w:rPr>
          <w:rFonts w:asciiTheme="majorHAnsi" w:hAnsiTheme="majorHAnsi" w:cstheme="majorHAnsi"/>
          <w:color w:val="auto"/>
          <w:sz w:val="24"/>
          <w:szCs w:val="24"/>
        </w:rPr>
      </w:pPr>
      <w:r>
        <w:rPr>
          <w:rFonts w:asciiTheme="majorHAnsi" w:hAnsiTheme="majorHAnsi" w:cstheme="majorHAnsi"/>
          <w:color w:val="auto"/>
          <w:sz w:val="24"/>
          <w:szCs w:val="24"/>
        </w:rPr>
        <w:t xml:space="preserve">Charity Commission E&amp;W – </w:t>
      </w:r>
    </w:p>
    <w:p w14:paraId="009ADF17" w14:textId="77777777" w:rsidR="00CD4023" w:rsidRDefault="00CD4023" w:rsidP="00CD4023">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hyperlink r:id="rId11" w:history="1">
        <w:r>
          <w:rPr>
            <w:rStyle w:val="Hyperlink"/>
            <w:rFonts w:asciiTheme="majorHAnsi" w:hAnsiTheme="majorHAnsi" w:cstheme="majorHAnsi"/>
            <w:sz w:val="24"/>
            <w:szCs w:val="24"/>
          </w:rPr>
          <w:t>Accepting, refusing and returning donations to your charity</w:t>
        </w:r>
      </w:hyperlink>
      <w:r>
        <w:rPr>
          <w:rFonts w:asciiTheme="majorHAnsi" w:hAnsiTheme="majorHAnsi" w:cstheme="majorHAnsi"/>
          <w:color w:val="auto"/>
          <w:sz w:val="24"/>
          <w:szCs w:val="24"/>
        </w:rPr>
        <w:t>.</w:t>
      </w:r>
    </w:p>
    <w:p w14:paraId="1AA56B7C" w14:textId="605D6A13" w:rsidR="00EE6233" w:rsidRDefault="00EE6233" w:rsidP="00CD4023">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hyperlink r:id="rId12" w:history="1">
        <w:r w:rsidRPr="00EE6233">
          <w:rPr>
            <w:rStyle w:val="Hyperlink"/>
            <w:rFonts w:asciiTheme="majorHAnsi" w:hAnsiTheme="majorHAnsi" w:cstheme="majorHAnsi"/>
            <w:sz w:val="24"/>
            <w:szCs w:val="24"/>
          </w:rPr>
          <w:t>Ex gratia payments by charities (CC7).</w:t>
        </w:r>
      </w:hyperlink>
    </w:p>
    <w:p w14:paraId="302344B8" w14:textId="1CF77C59" w:rsidR="00EE6233" w:rsidRDefault="00EE6233" w:rsidP="00CD4023">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hyperlink r:id="rId13" w:history="1">
        <w:r w:rsidRPr="00EE6233">
          <w:rPr>
            <w:rStyle w:val="Hyperlink"/>
            <w:rFonts w:asciiTheme="majorHAnsi" w:hAnsiTheme="majorHAnsi" w:cstheme="majorHAnsi"/>
            <w:sz w:val="24"/>
            <w:szCs w:val="24"/>
          </w:rPr>
          <w:t>Charity fundraising appeals for specific purposes</w:t>
        </w:r>
      </w:hyperlink>
      <w:r>
        <w:rPr>
          <w:rFonts w:asciiTheme="majorHAnsi" w:hAnsiTheme="majorHAnsi" w:cstheme="majorHAnsi"/>
          <w:color w:val="auto"/>
          <w:sz w:val="24"/>
          <w:szCs w:val="24"/>
        </w:rPr>
        <w:t xml:space="preserve"> (failed fundraising appeals).</w:t>
      </w:r>
    </w:p>
    <w:p w14:paraId="10A8F862" w14:textId="77777777" w:rsidR="00D4228D" w:rsidRPr="00B6326F" w:rsidRDefault="00D4228D" w:rsidP="00D4228D">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14" w:history="1">
        <w:r>
          <w:rPr>
            <w:rStyle w:val="Hyperlink"/>
            <w:rFonts w:asciiTheme="majorHAnsi" w:hAnsiTheme="majorHAnsi" w:cstheme="majorHAnsi"/>
            <w:sz w:val="24"/>
            <w:szCs w:val="24"/>
          </w:rPr>
          <w:t>K</w:t>
        </w:r>
        <w:r w:rsidRPr="003E40A5">
          <w:rPr>
            <w:rStyle w:val="Hyperlink"/>
            <w:rFonts w:asciiTheme="majorHAnsi" w:hAnsiTheme="majorHAnsi" w:cstheme="majorHAnsi"/>
            <w:sz w:val="24"/>
            <w:szCs w:val="24"/>
          </w:rPr>
          <w:t>now your donor key questions</w:t>
        </w:r>
      </w:hyperlink>
      <w:r>
        <w:rPr>
          <w:rStyle w:val="Hyperlink"/>
          <w:rFonts w:asciiTheme="majorHAnsi" w:hAnsiTheme="majorHAnsi" w:cstheme="majorHAnsi"/>
          <w:sz w:val="24"/>
          <w:szCs w:val="24"/>
        </w:rPr>
        <w:t>.</w:t>
      </w:r>
    </w:p>
    <w:p w14:paraId="3D4D809F" w14:textId="77777777" w:rsidR="00D4228D" w:rsidRPr="00B6326F" w:rsidRDefault="00D4228D" w:rsidP="00D4228D">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15" w:history="1">
        <w:r w:rsidRPr="00B6326F">
          <w:rPr>
            <w:rStyle w:val="Hyperlink"/>
            <w:rFonts w:asciiTheme="majorHAnsi" w:hAnsiTheme="majorHAnsi" w:cstheme="majorHAnsi"/>
            <w:sz w:val="24"/>
            <w:szCs w:val="24"/>
          </w:rPr>
          <w:t>Know you donor – checklist</w:t>
        </w:r>
      </w:hyperlink>
      <w:r>
        <w:rPr>
          <w:rStyle w:val="Hyperlink"/>
          <w:rFonts w:asciiTheme="majorHAnsi" w:hAnsiTheme="majorHAnsi" w:cstheme="majorHAnsi"/>
          <w:sz w:val="24"/>
          <w:szCs w:val="24"/>
        </w:rPr>
        <w:t>.</w:t>
      </w:r>
    </w:p>
    <w:p w14:paraId="614C365E" w14:textId="77777777" w:rsidR="00D4228D" w:rsidRPr="003E40A5" w:rsidRDefault="00D4228D" w:rsidP="00D4228D">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16" w:history="1">
        <w:r>
          <w:rPr>
            <w:rStyle w:val="Hyperlink"/>
            <w:rFonts w:asciiTheme="majorHAnsi" w:hAnsiTheme="majorHAnsi" w:cstheme="majorHAnsi"/>
            <w:sz w:val="24"/>
            <w:szCs w:val="24"/>
          </w:rPr>
          <w:t>A</w:t>
        </w:r>
        <w:r w:rsidRPr="003E40A5">
          <w:rPr>
            <w:rStyle w:val="Hyperlink"/>
            <w:rFonts w:asciiTheme="majorHAnsi" w:hAnsiTheme="majorHAnsi" w:cstheme="majorHAnsi"/>
            <w:sz w:val="24"/>
            <w:szCs w:val="24"/>
          </w:rPr>
          <w:t>dvice on suspect donations</w:t>
        </w:r>
      </w:hyperlink>
      <w:r w:rsidRPr="003E40A5">
        <w:rPr>
          <w:rFonts w:asciiTheme="majorHAnsi" w:hAnsiTheme="majorHAnsi" w:cstheme="majorHAnsi"/>
          <w:color w:val="auto"/>
          <w:sz w:val="24"/>
          <w:szCs w:val="24"/>
        </w:rPr>
        <w:t>.</w:t>
      </w:r>
    </w:p>
    <w:p w14:paraId="43CE8F7C" w14:textId="77777777" w:rsidR="00D4228D" w:rsidRDefault="00D4228D" w:rsidP="00D4228D">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17" w:history="1">
        <w:r>
          <w:rPr>
            <w:rStyle w:val="Hyperlink"/>
            <w:rFonts w:asciiTheme="majorHAnsi" w:hAnsiTheme="majorHAnsi" w:cstheme="majorHAnsi"/>
            <w:sz w:val="24"/>
            <w:szCs w:val="24"/>
          </w:rPr>
          <w:t>D</w:t>
        </w:r>
        <w:r w:rsidRPr="00B6326F">
          <w:rPr>
            <w:rStyle w:val="Hyperlink"/>
            <w:rFonts w:asciiTheme="majorHAnsi" w:hAnsiTheme="majorHAnsi" w:cstheme="majorHAnsi"/>
            <w:sz w:val="24"/>
            <w:szCs w:val="24"/>
          </w:rPr>
          <w:t>onations from outside the UK</w:t>
        </w:r>
      </w:hyperlink>
      <w:r>
        <w:rPr>
          <w:rFonts w:asciiTheme="majorHAnsi" w:hAnsiTheme="majorHAnsi" w:cstheme="majorHAnsi"/>
          <w:color w:val="auto"/>
          <w:sz w:val="24"/>
          <w:szCs w:val="24"/>
        </w:rPr>
        <w:t xml:space="preserve">. </w:t>
      </w:r>
    </w:p>
    <w:p w14:paraId="666371FE" w14:textId="77777777" w:rsidR="00D4228D" w:rsidRDefault="00D4228D" w:rsidP="00D4228D">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18" w:history="1">
        <w:r>
          <w:rPr>
            <w:rStyle w:val="Hyperlink"/>
            <w:rFonts w:asciiTheme="majorHAnsi" w:hAnsiTheme="majorHAnsi" w:cstheme="majorHAnsi"/>
            <w:sz w:val="24"/>
            <w:szCs w:val="24"/>
          </w:rPr>
          <w:t>E</w:t>
        </w:r>
        <w:r w:rsidRPr="00B6326F">
          <w:rPr>
            <w:rStyle w:val="Hyperlink"/>
            <w:rFonts w:asciiTheme="majorHAnsi" w:hAnsiTheme="majorHAnsi" w:cstheme="majorHAnsi"/>
            <w:sz w:val="24"/>
            <w:szCs w:val="24"/>
          </w:rPr>
          <w:t>nd use of funds</w:t>
        </w:r>
      </w:hyperlink>
      <w:r>
        <w:rPr>
          <w:rFonts w:asciiTheme="majorHAnsi" w:hAnsiTheme="majorHAnsi" w:cstheme="majorHAnsi"/>
          <w:color w:val="auto"/>
          <w:sz w:val="24"/>
          <w:szCs w:val="24"/>
        </w:rPr>
        <w:t>.</w:t>
      </w:r>
    </w:p>
    <w:p w14:paraId="10191756" w14:textId="77777777" w:rsidR="00D4228D" w:rsidRDefault="00D4228D" w:rsidP="00D4228D">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19" w:history="1">
        <w:r w:rsidRPr="00B6326F">
          <w:rPr>
            <w:rStyle w:val="Hyperlink"/>
            <w:rFonts w:asciiTheme="majorHAnsi" w:hAnsiTheme="majorHAnsi" w:cstheme="majorHAnsi"/>
            <w:sz w:val="24"/>
            <w:szCs w:val="24"/>
          </w:rPr>
          <w:t>Designated persons list</w:t>
        </w:r>
      </w:hyperlink>
      <w:r>
        <w:rPr>
          <w:rFonts w:asciiTheme="majorHAnsi" w:hAnsiTheme="majorHAnsi" w:cstheme="majorHAnsi"/>
          <w:color w:val="auto"/>
          <w:sz w:val="24"/>
          <w:szCs w:val="24"/>
        </w:rPr>
        <w:t>.</w:t>
      </w:r>
    </w:p>
    <w:p w14:paraId="2DA0ED99" w14:textId="77777777" w:rsidR="00D4228D" w:rsidRPr="00CD4023" w:rsidRDefault="00D4228D" w:rsidP="00D4228D">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20" w:history="1">
        <w:r w:rsidRPr="00B6326F">
          <w:rPr>
            <w:rStyle w:val="Hyperlink"/>
            <w:rFonts w:asciiTheme="majorHAnsi" w:hAnsiTheme="majorHAnsi" w:cstheme="majorHAnsi"/>
            <w:sz w:val="24"/>
            <w:szCs w:val="24"/>
          </w:rPr>
          <w:t>Tainted donations.</w:t>
        </w:r>
      </w:hyperlink>
    </w:p>
    <w:p w14:paraId="287D2675" w14:textId="6B952F10" w:rsidR="00AD5C79" w:rsidRDefault="00D4228D" w:rsidP="00CD4023">
      <w:pPr>
        <w:pStyle w:val="ListParagraph"/>
        <w:numPr>
          <w:ilvl w:val="0"/>
          <w:numId w:val="29"/>
        </w:numPr>
        <w:spacing w:beforeAutospacing="1" w:afterAutospacing="1"/>
        <w:textAlignment w:val="baseline"/>
        <w:rPr>
          <w:rFonts w:asciiTheme="majorHAnsi" w:hAnsiTheme="majorHAnsi" w:cstheme="majorHAnsi"/>
          <w:color w:val="auto"/>
          <w:sz w:val="24"/>
          <w:szCs w:val="24"/>
        </w:rPr>
      </w:pPr>
      <w:r w:rsidRPr="00CD4023">
        <w:rPr>
          <w:rFonts w:asciiTheme="majorHAnsi" w:hAnsiTheme="majorHAnsi" w:cstheme="majorHAnsi"/>
          <w:color w:val="auto"/>
          <w:sz w:val="24"/>
          <w:szCs w:val="24"/>
        </w:rPr>
        <w:t>Fundraising Regulator</w:t>
      </w:r>
      <w:r w:rsidR="00AD5C79">
        <w:rPr>
          <w:rFonts w:asciiTheme="majorHAnsi" w:hAnsiTheme="majorHAnsi" w:cstheme="majorHAnsi"/>
          <w:color w:val="auto"/>
          <w:sz w:val="24"/>
          <w:szCs w:val="24"/>
        </w:rPr>
        <w:t>.</w:t>
      </w:r>
    </w:p>
    <w:p w14:paraId="11C7D8A2" w14:textId="7F36BB21" w:rsidR="00D4228D" w:rsidRDefault="00D4228D" w:rsidP="00AD5C79">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21" w:history="1">
        <w:r w:rsidR="00AD5C79">
          <w:rPr>
            <w:rStyle w:val="Hyperlink"/>
            <w:rFonts w:asciiTheme="majorHAnsi" w:hAnsiTheme="majorHAnsi" w:cstheme="majorHAnsi"/>
            <w:sz w:val="24"/>
            <w:szCs w:val="24"/>
          </w:rPr>
          <w:t>B</w:t>
        </w:r>
        <w:r w:rsidRPr="00CD4023">
          <w:rPr>
            <w:rStyle w:val="Hyperlink"/>
            <w:rFonts w:asciiTheme="majorHAnsi" w:hAnsiTheme="majorHAnsi" w:cstheme="majorHAnsi"/>
            <w:sz w:val="24"/>
            <w:szCs w:val="24"/>
          </w:rPr>
          <w:t>ehaviour when fundraising</w:t>
        </w:r>
      </w:hyperlink>
      <w:r w:rsidRPr="00CD4023">
        <w:rPr>
          <w:rFonts w:asciiTheme="majorHAnsi" w:hAnsiTheme="majorHAnsi" w:cstheme="majorHAnsi"/>
          <w:color w:val="auto"/>
          <w:sz w:val="24"/>
          <w:szCs w:val="24"/>
        </w:rPr>
        <w:t xml:space="preserve">. </w:t>
      </w:r>
    </w:p>
    <w:p w14:paraId="0F5A6323" w14:textId="7E06CB83" w:rsidR="00AD5C79" w:rsidRPr="00CD4023" w:rsidRDefault="00AD5C79" w:rsidP="00AD5C79">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22" w:history="1">
        <w:r w:rsidRPr="00AD5C79">
          <w:rPr>
            <w:rStyle w:val="Hyperlink"/>
            <w:rFonts w:asciiTheme="majorHAnsi" w:hAnsiTheme="majorHAnsi" w:cstheme="majorHAnsi"/>
            <w:sz w:val="24"/>
            <w:szCs w:val="24"/>
          </w:rPr>
          <w:t>Due Diligence in Fun</w:t>
        </w:r>
        <w:r w:rsidRPr="00AD5C79">
          <w:rPr>
            <w:rStyle w:val="Hyperlink"/>
            <w:rFonts w:asciiTheme="majorHAnsi" w:hAnsiTheme="majorHAnsi" w:cstheme="majorHAnsi"/>
            <w:sz w:val="24"/>
            <w:szCs w:val="24"/>
          </w:rPr>
          <w:t>d</w:t>
        </w:r>
        <w:r w:rsidRPr="00AD5C79">
          <w:rPr>
            <w:rStyle w:val="Hyperlink"/>
            <w:rFonts w:asciiTheme="majorHAnsi" w:hAnsiTheme="majorHAnsi" w:cstheme="majorHAnsi"/>
            <w:sz w:val="24"/>
            <w:szCs w:val="24"/>
          </w:rPr>
          <w:t>ra</w:t>
        </w:r>
        <w:r w:rsidRPr="00AD5C79">
          <w:rPr>
            <w:rStyle w:val="Hyperlink"/>
            <w:rFonts w:asciiTheme="majorHAnsi" w:hAnsiTheme="majorHAnsi" w:cstheme="majorHAnsi"/>
            <w:sz w:val="24"/>
            <w:szCs w:val="24"/>
          </w:rPr>
          <w:t>ising</w:t>
        </w:r>
      </w:hyperlink>
      <w:r>
        <w:rPr>
          <w:rFonts w:asciiTheme="majorHAnsi" w:hAnsiTheme="majorHAnsi" w:cstheme="majorHAnsi"/>
          <w:color w:val="auto"/>
          <w:sz w:val="24"/>
          <w:szCs w:val="24"/>
        </w:rPr>
        <w:t>.</w:t>
      </w:r>
    </w:p>
    <w:p w14:paraId="73C784C7" w14:textId="77777777" w:rsidR="00C57EC0" w:rsidRPr="00C57EC0" w:rsidRDefault="00C57EC0" w:rsidP="00C57EC0">
      <w:pPr>
        <w:shd w:val="clear" w:color="auto" w:fill="FFFFFF"/>
        <w:outlineLvl w:val="0"/>
        <w:rPr>
          <w:rFonts w:ascii="Century Gothic" w:hAnsi="Century Gothic"/>
          <w:b/>
          <w:bCs/>
          <w:color w:val="1F4E79" w:themeColor="accent5" w:themeShade="80"/>
          <w:spacing w:val="-3"/>
          <w:sz w:val="32"/>
          <w:szCs w:val="32"/>
        </w:rPr>
      </w:pPr>
      <w:bookmarkStart w:id="1" w:name="_Hlk133738093"/>
      <w:r w:rsidRPr="00C57EC0">
        <w:rPr>
          <w:rFonts w:ascii="Century Gothic" w:hAnsi="Century Gothic"/>
          <w:b/>
          <w:bCs/>
          <w:color w:val="1F4E79" w:themeColor="accent5" w:themeShade="80"/>
          <w:spacing w:val="-3"/>
          <w:sz w:val="32"/>
          <w:szCs w:val="32"/>
        </w:rPr>
        <w:t>Disclaimer &amp; Legal</w:t>
      </w:r>
    </w:p>
    <w:p w14:paraId="483DAF7E" w14:textId="77777777" w:rsidR="00C57EC0" w:rsidRPr="00C57EC0" w:rsidRDefault="00C57EC0" w:rsidP="00C57EC0">
      <w:pPr>
        <w:shd w:val="clear" w:color="auto" w:fill="FFFFFF"/>
        <w:outlineLvl w:val="0"/>
        <w:rPr>
          <w:rFonts w:asciiTheme="majorHAnsi" w:hAnsiTheme="majorHAnsi"/>
          <w:color w:val="auto"/>
          <w:spacing w:val="-3"/>
          <w:szCs w:val="24"/>
        </w:rPr>
      </w:pPr>
    </w:p>
    <w:p w14:paraId="01824F84"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F312D27" w14:textId="77777777" w:rsidR="00C57EC0" w:rsidRPr="00C57EC0" w:rsidRDefault="00C57EC0" w:rsidP="00C57EC0">
      <w:pPr>
        <w:shd w:val="clear" w:color="auto" w:fill="FFFFFF"/>
        <w:outlineLvl w:val="0"/>
        <w:rPr>
          <w:rFonts w:asciiTheme="majorHAnsi" w:hAnsiTheme="majorHAnsi"/>
          <w:color w:val="auto"/>
          <w:spacing w:val="-3"/>
          <w:szCs w:val="24"/>
        </w:rPr>
      </w:pPr>
    </w:p>
    <w:p w14:paraId="1C9E25D6"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7A1E3AB6" w14:textId="77777777" w:rsidR="00C57EC0" w:rsidRPr="00C57EC0" w:rsidRDefault="00C57EC0" w:rsidP="00C57EC0">
      <w:pPr>
        <w:shd w:val="clear" w:color="auto" w:fill="FFFFFF"/>
        <w:outlineLvl w:val="0"/>
        <w:rPr>
          <w:rFonts w:asciiTheme="majorHAnsi" w:hAnsiTheme="majorHAnsi"/>
          <w:color w:val="auto"/>
          <w:spacing w:val="-3"/>
          <w:szCs w:val="24"/>
        </w:rPr>
      </w:pPr>
    </w:p>
    <w:p w14:paraId="74BF4C41" w14:textId="1F9797B5" w:rsid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w:t>
      </w:r>
      <w:r w:rsidRPr="00C57EC0">
        <w:rPr>
          <w:rFonts w:asciiTheme="majorHAnsi" w:hAnsiTheme="majorHAnsi"/>
          <w:color w:val="auto"/>
          <w:spacing w:val="-3"/>
          <w:szCs w:val="24"/>
        </w:rPr>
        <w:lastRenderedPageBreak/>
        <w:t xml:space="preserve">for any loss or detriment that may arise from using it.  I have included links to regulatory guidance, and you can find pro bono support using the Charity Excellence </w:t>
      </w:r>
      <w:hyperlink r:id="rId23" w:history="1">
        <w:r w:rsidRPr="00361753">
          <w:rPr>
            <w:rStyle w:val="Hyperlink"/>
            <w:rFonts w:asciiTheme="majorHAnsi" w:hAnsiTheme="majorHAnsi"/>
            <w:spacing w:val="-3"/>
            <w:szCs w:val="24"/>
          </w:rPr>
          <w:t>Help Finder</w:t>
        </w:r>
      </w:hyperlink>
      <w:r w:rsidRPr="00C57EC0">
        <w:rPr>
          <w:rFonts w:asciiTheme="majorHAnsi" w:hAnsiTheme="majorHAnsi"/>
          <w:color w:val="auto"/>
          <w:spacing w:val="-3"/>
          <w:szCs w:val="24"/>
        </w:rPr>
        <w:t xml:space="preserve">. </w:t>
      </w:r>
    </w:p>
    <w:p w14:paraId="1348C2E9" w14:textId="77777777" w:rsidR="00A359EF" w:rsidRDefault="00A359EF" w:rsidP="00C57EC0">
      <w:pPr>
        <w:shd w:val="clear" w:color="auto" w:fill="FFFFFF"/>
        <w:outlineLvl w:val="0"/>
        <w:rPr>
          <w:rFonts w:asciiTheme="majorHAnsi" w:hAnsiTheme="majorHAnsi"/>
          <w:color w:val="auto"/>
          <w:spacing w:val="-3"/>
          <w:szCs w:val="24"/>
        </w:rPr>
      </w:pPr>
    </w:p>
    <w:p w14:paraId="27993E83" w14:textId="6717459D" w:rsidR="00A359EF" w:rsidRPr="00C57EC0" w:rsidRDefault="00A359EF" w:rsidP="00C57EC0">
      <w:pPr>
        <w:shd w:val="clear" w:color="auto" w:fill="FFFFFF"/>
        <w:outlineLvl w:val="0"/>
        <w:rPr>
          <w:rFonts w:asciiTheme="majorHAnsi" w:hAnsiTheme="majorHAnsi"/>
          <w:color w:val="auto"/>
          <w:spacing w:val="-3"/>
          <w:szCs w:val="24"/>
        </w:rPr>
      </w:pPr>
      <w:r>
        <w:rPr>
          <w:rFonts w:asciiTheme="majorHAnsi" w:hAnsiTheme="majorHAnsi"/>
          <w:color w:val="auto"/>
          <w:spacing w:val="-3"/>
          <w:szCs w:val="24"/>
        </w:rPr>
        <w:t xml:space="preserve">Note: the section on Charity Commission guidance and approval is from the </w:t>
      </w:r>
      <w:hyperlink r:id="rId24" w:history="1">
        <w:r w:rsidRPr="00A359EF">
          <w:rPr>
            <w:rStyle w:val="Hyperlink"/>
            <w:rFonts w:asciiTheme="majorHAnsi" w:hAnsiTheme="majorHAnsi"/>
            <w:spacing w:val="-3"/>
            <w:szCs w:val="24"/>
          </w:rPr>
          <w:t>Bates Wells newsletter of 15 Oc</w:t>
        </w:r>
        <w:r>
          <w:rPr>
            <w:rStyle w:val="Hyperlink"/>
            <w:rFonts w:asciiTheme="majorHAnsi" w:hAnsiTheme="majorHAnsi"/>
            <w:spacing w:val="-3"/>
            <w:szCs w:val="24"/>
          </w:rPr>
          <w:t>t 24</w:t>
        </w:r>
      </w:hyperlink>
      <w:r>
        <w:rPr>
          <w:rFonts w:asciiTheme="majorHAnsi" w:hAnsiTheme="majorHAnsi"/>
          <w:color w:val="auto"/>
          <w:spacing w:val="-3"/>
          <w:szCs w:val="24"/>
        </w:rPr>
        <w:t xml:space="preserve"> and is credited to </w:t>
      </w:r>
      <w:r w:rsidRPr="00A359EF">
        <w:rPr>
          <w:rFonts w:asciiTheme="majorHAnsi" w:hAnsiTheme="majorHAnsi"/>
          <w:color w:val="auto"/>
          <w:spacing w:val="-3"/>
          <w:szCs w:val="24"/>
        </w:rPr>
        <w:t>Jane McGarry, assistant director of legal services at the Charity Commission</w:t>
      </w:r>
      <w:r>
        <w:rPr>
          <w:rFonts w:asciiTheme="majorHAnsi" w:hAnsiTheme="majorHAnsi"/>
          <w:color w:val="auto"/>
          <w:spacing w:val="-3"/>
          <w:szCs w:val="24"/>
        </w:rPr>
        <w:t>.</w:t>
      </w:r>
    </w:p>
    <w:p w14:paraId="69DD486E" w14:textId="77777777" w:rsidR="00C57EC0" w:rsidRPr="00C57EC0" w:rsidRDefault="00C57EC0" w:rsidP="00C57EC0">
      <w:pPr>
        <w:shd w:val="clear" w:color="auto" w:fill="FFFFFF"/>
        <w:outlineLvl w:val="0"/>
        <w:rPr>
          <w:rFonts w:asciiTheme="majorHAnsi" w:hAnsiTheme="majorHAnsi"/>
          <w:color w:val="auto"/>
          <w:spacing w:val="-3"/>
          <w:szCs w:val="24"/>
        </w:rPr>
      </w:pPr>
    </w:p>
    <w:p w14:paraId="693096AD"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Ian </w:t>
      </w:r>
    </w:p>
    <w:bookmarkEnd w:id="1"/>
    <w:p w14:paraId="08114836" w14:textId="77777777" w:rsidR="00C57EC0" w:rsidRPr="00C57EC0" w:rsidRDefault="00C57EC0" w:rsidP="00C57EC0">
      <w:pPr>
        <w:rPr>
          <w:rFonts w:ascii="Century Gothic" w:eastAsia="Calibri" w:hAnsi="Century Gothic" w:cs="Calibri"/>
          <w:b/>
          <w:bCs/>
          <w:noProof/>
          <w:szCs w:val="24"/>
          <w:lang w:eastAsia="en-GB"/>
        </w:rPr>
      </w:pPr>
    </w:p>
    <w:p w14:paraId="1A0BFF89" w14:textId="77777777" w:rsidR="00C57EC0" w:rsidRPr="00C57EC0" w:rsidRDefault="00C57EC0" w:rsidP="00C57EC0">
      <w:pPr>
        <w:rPr>
          <w:rFonts w:ascii="Century Gothic" w:eastAsia="Calibri" w:hAnsi="Century Gothic" w:cs="Calibri"/>
          <w:b/>
          <w:bCs/>
          <w:noProof/>
          <w:szCs w:val="24"/>
          <w:lang w:eastAsia="en-GB"/>
        </w:rPr>
      </w:pPr>
      <w:r w:rsidRPr="00C57EC0">
        <w:rPr>
          <w:rFonts w:ascii="Century Gothic" w:eastAsia="Calibri" w:hAnsi="Century Gothic" w:cs="Calibri"/>
          <w:b/>
          <w:bCs/>
          <w:noProof/>
          <w:szCs w:val="24"/>
          <w:lang w:eastAsia="en-GB"/>
        </w:rPr>
        <w:t xml:space="preserve">Ian McLintock </w:t>
      </w:r>
      <w:r w:rsidRPr="00C57EC0">
        <w:rPr>
          <w:rFonts w:ascii="Symbol" w:eastAsia="Calibri" w:hAnsi="Symbol" w:cs="Calibri"/>
          <w:b/>
          <w:bCs/>
          <w:noProof/>
          <w:szCs w:val="24"/>
          <w:lang w:eastAsia="en-GB"/>
        </w:rPr>
        <w:t>½</w:t>
      </w:r>
      <w:r w:rsidRPr="00C57EC0">
        <w:rPr>
          <w:rFonts w:ascii="Century Gothic" w:eastAsia="Calibri" w:hAnsi="Century Gothic" w:cs="Calibri"/>
          <w:b/>
          <w:bCs/>
          <w:noProof/>
          <w:szCs w:val="24"/>
          <w:lang w:eastAsia="en-GB"/>
        </w:rPr>
        <w:t xml:space="preserve"> Founder</w:t>
      </w:r>
    </w:p>
    <w:p w14:paraId="5956DBEC" w14:textId="77777777" w:rsidR="00C57EC0" w:rsidRPr="00C57EC0" w:rsidRDefault="00C57EC0" w:rsidP="00C57EC0">
      <w:pPr>
        <w:shd w:val="clear" w:color="auto" w:fill="FFFFFF"/>
        <w:rPr>
          <w:rFonts w:ascii="Century Gothic" w:eastAsia="Calibri" w:hAnsi="Century Gothic" w:cs="Calibri"/>
          <w:noProof/>
          <w:color w:val="323E4F"/>
          <w:szCs w:val="24"/>
        </w:rPr>
      </w:pPr>
    </w:p>
    <w:p w14:paraId="4E97BCBA" w14:textId="77777777" w:rsidR="00C57EC0" w:rsidRPr="00C57EC0" w:rsidRDefault="00C57EC0" w:rsidP="00C57EC0">
      <w:pPr>
        <w:rPr>
          <w:rStyle w:val="Hyperlink"/>
          <w:rFonts w:eastAsia="Calibri" w:cs="Calibri"/>
          <w:noProof/>
          <w:color w:val="1F4E79" w:themeColor="accent5" w:themeShade="80"/>
          <w:lang w:eastAsia="en-GB"/>
        </w:rPr>
      </w:pPr>
      <w:hyperlink r:id="rId25" w:history="1">
        <w:r w:rsidRPr="00C57EC0">
          <w:rPr>
            <w:rStyle w:val="Hyperlink"/>
            <w:rFonts w:eastAsia="Calibri" w:cs="Calibri"/>
            <w:noProof/>
            <w:lang w:eastAsia="en-GB"/>
          </w:rPr>
          <w:t>ian@charityexcellence.co.uk</w:t>
        </w:r>
      </w:hyperlink>
    </w:p>
    <w:p w14:paraId="2E3014B2" w14:textId="77777777" w:rsidR="00C57EC0" w:rsidRPr="00C57EC0" w:rsidRDefault="00C57EC0" w:rsidP="00C57EC0">
      <w:pPr>
        <w:rPr>
          <w:rStyle w:val="Hyperlink"/>
          <w:rFonts w:eastAsia="Calibri" w:cs="Calibri"/>
          <w:noProof/>
          <w:lang w:eastAsia="en-GB"/>
        </w:rPr>
      </w:pPr>
      <w:hyperlink r:id="rId26" w:history="1">
        <w:r w:rsidRPr="00C57EC0">
          <w:rPr>
            <w:rStyle w:val="Hyperlink"/>
            <w:rFonts w:eastAsia="Calibri" w:cs="Calibri"/>
            <w:noProof/>
            <w:lang w:eastAsia="en-GB"/>
          </w:rPr>
          <w:t>www.charityexcellence.co.uk</w:t>
        </w:r>
      </w:hyperlink>
    </w:p>
    <w:p w14:paraId="118CF486" w14:textId="3E984CCF" w:rsidR="007D39FA" w:rsidRDefault="007D39FA" w:rsidP="00804BB7">
      <w:pPr>
        <w:rPr>
          <w:rStyle w:val="Hyperlink"/>
          <w:rFonts w:ascii="Century Gothic" w:eastAsia="Calibri" w:hAnsi="Century Gothic" w:cs="Calibri"/>
          <w:noProof/>
          <w:lang w:eastAsia="en-GB"/>
        </w:rPr>
      </w:pPr>
    </w:p>
    <w:p w14:paraId="237FE8B6" w14:textId="7772FBF5" w:rsidR="00804BB7" w:rsidRDefault="00804BB7" w:rsidP="00804BB7">
      <w:pPr>
        <w:shd w:val="clear" w:color="auto" w:fill="FFFFFF"/>
        <w:outlineLvl w:val="0"/>
        <w:rPr>
          <w:rFonts w:asciiTheme="majorHAnsi" w:hAnsiTheme="majorHAnsi"/>
          <w:color w:val="auto"/>
          <w:spacing w:val="-3"/>
          <w:szCs w:val="24"/>
        </w:rPr>
      </w:pPr>
      <w:r w:rsidRPr="00804BB7">
        <w:rPr>
          <w:rFonts w:asciiTheme="majorHAnsi" w:hAnsiTheme="majorHAnsi"/>
          <w:b/>
          <w:bCs/>
          <w:color w:val="1F4E79" w:themeColor="accent5" w:themeShade="80"/>
          <w:spacing w:val="-3"/>
          <w:szCs w:val="24"/>
        </w:rPr>
        <w:t>Iteration 1: Feb 23</w:t>
      </w:r>
      <w:r w:rsidRPr="00804BB7">
        <w:rPr>
          <w:rFonts w:asciiTheme="majorHAnsi" w:hAnsiTheme="majorHAnsi"/>
          <w:color w:val="1F4E79" w:themeColor="accent5" w:themeShade="80"/>
          <w:spacing w:val="-3"/>
          <w:szCs w:val="24"/>
        </w:rPr>
        <w:t xml:space="preserve"> </w:t>
      </w:r>
      <w:r>
        <w:rPr>
          <w:rFonts w:asciiTheme="majorHAnsi" w:hAnsiTheme="majorHAnsi"/>
          <w:color w:val="auto"/>
          <w:spacing w:val="-3"/>
          <w:szCs w:val="24"/>
        </w:rPr>
        <w:t>– initial draft.</w:t>
      </w:r>
    </w:p>
    <w:p w14:paraId="4C7A4CBB" w14:textId="7F7FCBEE" w:rsidR="00804BB7" w:rsidRDefault="00804BB7" w:rsidP="00804BB7">
      <w:pPr>
        <w:shd w:val="clear" w:color="auto" w:fill="FFFFFF"/>
        <w:outlineLvl w:val="0"/>
        <w:rPr>
          <w:rFonts w:asciiTheme="majorHAnsi" w:hAnsiTheme="majorHAnsi"/>
          <w:color w:val="auto"/>
          <w:spacing w:val="-3"/>
          <w:szCs w:val="24"/>
        </w:rPr>
      </w:pPr>
      <w:r w:rsidRPr="00804BB7">
        <w:rPr>
          <w:rFonts w:asciiTheme="majorHAnsi" w:hAnsiTheme="majorHAnsi"/>
          <w:b/>
          <w:bCs/>
          <w:color w:val="1F4E79" w:themeColor="accent5" w:themeShade="80"/>
          <w:spacing w:val="-3"/>
          <w:szCs w:val="24"/>
        </w:rPr>
        <w:t>Iteration 2: Mar 24</w:t>
      </w:r>
      <w:r w:rsidRPr="00804BB7">
        <w:rPr>
          <w:rFonts w:asciiTheme="majorHAnsi" w:hAnsiTheme="majorHAnsi"/>
          <w:color w:val="1F4E79" w:themeColor="accent5" w:themeShade="80"/>
          <w:spacing w:val="-3"/>
          <w:szCs w:val="24"/>
        </w:rPr>
        <w:t xml:space="preserve"> </w:t>
      </w:r>
      <w:r>
        <w:rPr>
          <w:rFonts w:asciiTheme="majorHAnsi" w:hAnsiTheme="majorHAnsi"/>
          <w:color w:val="auto"/>
          <w:spacing w:val="-3"/>
          <w:szCs w:val="24"/>
        </w:rPr>
        <w:t>– new CC E&amp;W guidance.</w:t>
      </w:r>
    </w:p>
    <w:p w14:paraId="086895BA" w14:textId="79043576" w:rsidR="00804BB7" w:rsidRDefault="00804BB7" w:rsidP="00804BB7">
      <w:pPr>
        <w:shd w:val="clear" w:color="auto" w:fill="FFFFFF"/>
        <w:outlineLvl w:val="0"/>
        <w:rPr>
          <w:rFonts w:asciiTheme="majorHAnsi" w:hAnsiTheme="majorHAnsi"/>
          <w:color w:val="auto"/>
          <w:spacing w:val="-3"/>
          <w:szCs w:val="24"/>
        </w:rPr>
      </w:pPr>
      <w:r w:rsidRPr="00804BB7">
        <w:rPr>
          <w:rFonts w:asciiTheme="majorHAnsi" w:hAnsiTheme="majorHAnsi"/>
          <w:b/>
          <w:bCs/>
          <w:color w:val="1F4E79" w:themeColor="accent5" w:themeShade="80"/>
          <w:spacing w:val="-3"/>
          <w:szCs w:val="24"/>
        </w:rPr>
        <w:t>Iteration 3: Oct 24</w:t>
      </w:r>
      <w:r w:rsidRPr="00804BB7">
        <w:rPr>
          <w:rFonts w:asciiTheme="majorHAnsi" w:hAnsiTheme="majorHAnsi"/>
          <w:color w:val="1F4E79" w:themeColor="accent5" w:themeShade="80"/>
          <w:spacing w:val="-3"/>
          <w:szCs w:val="24"/>
        </w:rPr>
        <w:t xml:space="preserve"> </w:t>
      </w:r>
      <w:r>
        <w:rPr>
          <w:rFonts w:asciiTheme="majorHAnsi" w:hAnsiTheme="majorHAnsi"/>
          <w:color w:val="auto"/>
          <w:spacing w:val="-3"/>
          <w:szCs w:val="24"/>
        </w:rPr>
        <w:t>- CC Guidance and approval section.</w:t>
      </w:r>
    </w:p>
    <w:p w14:paraId="54120598" w14:textId="0959ED7C" w:rsidR="00804BB7" w:rsidRDefault="00804BB7" w:rsidP="00804BB7">
      <w:pPr>
        <w:shd w:val="clear" w:color="auto" w:fill="FFFFFF"/>
        <w:outlineLvl w:val="0"/>
        <w:rPr>
          <w:rFonts w:asciiTheme="majorHAnsi" w:hAnsiTheme="majorHAnsi"/>
          <w:color w:val="auto"/>
          <w:spacing w:val="-3"/>
          <w:szCs w:val="24"/>
        </w:rPr>
      </w:pPr>
      <w:r w:rsidRPr="00804BB7">
        <w:rPr>
          <w:rFonts w:asciiTheme="majorHAnsi" w:hAnsiTheme="majorHAnsi"/>
          <w:b/>
          <w:bCs/>
          <w:color w:val="1F4E79" w:themeColor="accent5" w:themeShade="80"/>
          <w:spacing w:val="-3"/>
          <w:szCs w:val="24"/>
        </w:rPr>
        <w:t>Iteration 4: Apr 25</w:t>
      </w:r>
      <w:r w:rsidRPr="00804BB7">
        <w:rPr>
          <w:rFonts w:asciiTheme="majorHAnsi" w:hAnsiTheme="majorHAnsi"/>
          <w:color w:val="1F4E79" w:themeColor="accent5" w:themeShade="80"/>
          <w:spacing w:val="-3"/>
          <w:szCs w:val="24"/>
        </w:rPr>
        <w:t xml:space="preserve"> </w:t>
      </w:r>
      <w:r>
        <w:rPr>
          <w:rFonts w:asciiTheme="majorHAnsi" w:hAnsiTheme="majorHAnsi"/>
          <w:color w:val="auto"/>
          <w:spacing w:val="-3"/>
          <w:szCs w:val="24"/>
        </w:rPr>
        <w:t xml:space="preserve">- </w:t>
      </w:r>
      <w:hyperlink r:id="rId27" w:history="1">
        <w:r w:rsidRPr="00AD5C79">
          <w:rPr>
            <w:rStyle w:val="Hyperlink"/>
            <w:rFonts w:asciiTheme="majorHAnsi" w:hAnsiTheme="majorHAnsi"/>
            <w:spacing w:val="-3"/>
            <w:szCs w:val="24"/>
          </w:rPr>
          <w:t>New FR Code,</w:t>
        </w:r>
      </w:hyperlink>
      <w:r>
        <w:rPr>
          <w:rFonts w:asciiTheme="majorHAnsi" w:hAnsiTheme="majorHAnsi"/>
          <w:color w:val="auto"/>
          <w:spacing w:val="-3"/>
          <w:szCs w:val="24"/>
        </w:rPr>
        <w:t xml:space="preserve"> refusal only in exceptional circumstances.</w:t>
      </w:r>
    </w:p>
    <w:p w14:paraId="4DA06565" w14:textId="77777777" w:rsidR="00804BB7" w:rsidRDefault="00804BB7" w:rsidP="00804BB7">
      <w:pPr>
        <w:shd w:val="clear" w:color="auto" w:fill="FFFFFF"/>
        <w:outlineLvl w:val="0"/>
        <w:rPr>
          <w:rFonts w:asciiTheme="majorHAnsi" w:hAnsiTheme="majorHAnsi"/>
          <w:color w:val="auto"/>
          <w:spacing w:val="-3"/>
          <w:szCs w:val="24"/>
        </w:rPr>
      </w:pPr>
    </w:p>
    <w:p w14:paraId="6154AF7C" w14:textId="526D7EA5" w:rsidR="00804BB7" w:rsidRPr="00804BB7" w:rsidRDefault="00804BB7" w:rsidP="00804BB7">
      <w:pPr>
        <w:shd w:val="clear" w:color="auto" w:fill="FFFFFF"/>
        <w:outlineLvl w:val="0"/>
        <w:rPr>
          <w:rFonts w:asciiTheme="majorHAnsi" w:hAnsiTheme="majorHAnsi"/>
          <w:color w:val="auto"/>
          <w:spacing w:val="-3"/>
          <w:szCs w:val="24"/>
        </w:rPr>
      </w:pPr>
      <w:r>
        <w:rPr>
          <w:rFonts w:asciiTheme="majorHAnsi" w:hAnsiTheme="majorHAnsi"/>
          <w:color w:val="auto"/>
          <w:spacing w:val="-3"/>
          <w:szCs w:val="24"/>
        </w:rPr>
        <w:t xml:space="preserve"> </w:t>
      </w:r>
    </w:p>
    <w:p w14:paraId="6A9407BF" w14:textId="5A37A348" w:rsidR="00804BB7" w:rsidRPr="00804BB7" w:rsidRDefault="00804BB7" w:rsidP="00804BB7">
      <w:pPr>
        <w:rPr>
          <w:rStyle w:val="Hyperlink"/>
          <w:rFonts w:ascii="Century Gothic" w:eastAsia="Calibri" w:hAnsi="Century Gothic" w:cs="Calibri"/>
          <w:noProof/>
          <w:lang w:eastAsia="en-GB"/>
        </w:rPr>
      </w:pPr>
    </w:p>
    <w:p w14:paraId="07D2B91E" w14:textId="77777777" w:rsidR="007D39FA" w:rsidRPr="007D39FA" w:rsidRDefault="007D39FA" w:rsidP="007D39FA">
      <w:pPr>
        <w:spacing w:beforeAutospacing="1" w:afterAutospacing="1"/>
        <w:textAlignment w:val="baseline"/>
        <w:rPr>
          <w:rFonts w:asciiTheme="majorHAnsi" w:hAnsiTheme="majorHAnsi"/>
          <w:color w:val="auto"/>
          <w:szCs w:val="24"/>
        </w:rPr>
      </w:pPr>
    </w:p>
    <w:bookmarkEnd w:id="0"/>
    <w:p w14:paraId="6689E542" w14:textId="3ACE6E5B" w:rsidR="005C6A13" w:rsidRPr="00A363AF" w:rsidRDefault="005C6A13" w:rsidP="00115C25">
      <w:pPr>
        <w:spacing w:beforeAutospacing="1" w:afterAutospacing="1" w:line="276" w:lineRule="auto"/>
        <w:textAlignment w:val="baseline"/>
        <w:rPr>
          <w:rFonts w:asciiTheme="majorHAnsi" w:hAnsiTheme="majorHAnsi"/>
          <w:color w:val="auto"/>
          <w:szCs w:val="24"/>
        </w:rPr>
      </w:pPr>
    </w:p>
    <w:sectPr w:rsidR="005C6A13" w:rsidRPr="00A363AF" w:rsidSect="00374B78">
      <w:headerReference w:type="default" r:id="rId28"/>
      <w:footerReference w:type="defaul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7610" w14:textId="77777777" w:rsidR="00304A4C" w:rsidRDefault="00304A4C" w:rsidP="007916A8">
      <w:r>
        <w:separator/>
      </w:r>
    </w:p>
  </w:endnote>
  <w:endnote w:type="continuationSeparator" w:id="0">
    <w:p w14:paraId="5D2BC3E9" w14:textId="77777777" w:rsidR="00304A4C" w:rsidRDefault="00304A4C"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p w14:paraId="4898E368" w14:textId="77777777" w:rsidR="008C4E9E" w:rsidRPr="0018070D" w:rsidRDefault="008C4E9E" w:rsidP="008C4E9E">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Pr="0018070D">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18070D">
          <w:rPr>
            <w:rFonts w:asciiTheme="minorHAnsi" w:hAnsiTheme="minorHAnsi" w:cstheme="minorBidi"/>
            <w:color w:val="auto"/>
            <w:spacing w:val="0"/>
            <w:kern w:val="2"/>
            <w:sz w:val="22"/>
            <w:szCs w:val="22"/>
            <w14:ligatures w14:val="standardContextual"/>
          </w:rPr>
          <w:t xml:space="preserve"> – a completely free one-stop-shop for everything your charity needs</w:t>
        </w:r>
      </w:p>
      <w:p w14:paraId="1098153D" w14:textId="2C58D96F"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FAB0" w14:textId="77777777" w:rsidR="00304A4C" w:rsidRDefault="00304A4C" w:rsidP="007916A8">
      <w:r>
        <w:separator/>
      </w:r>
    </w:p>
  </w:footnote>
  <w:footnote w:type="continuationSeparator" w:id="0">
    <w:p w14:paraId="7BF5B6CA" w14:textId="77777777" w:rsidR="00304A4C" w:rsidRDefault="00304A4C"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283EBB1E" w:rsidR="007D2894" w:rsidRDefault="006B6512">
    <w:pPr>
      <w:pStyle w:val="Header"/>
    </w:pPr>
    <w:r>
      <w:tab/>
    </w:r>
    <w:r w:rsidR="00CE27B1">
      <w:t xml:space="preserve">       </w:t>
    </w:r>
    <w:r w:rsidR="007D2894">
      <w:tab/>
    </w:r>
    <w:r w:rsidR="008C4E9E">
      <w:rPr>
        <w:noProof/>
      </w:rPr>
      <w:drawing>
        <wp:inline distT="0" distB="0" distL="0" distR="0" wp14:anchorId="099D28DF" wp14:editId="6D35A49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001"/>
    <w:multiLevelType w:val="hybridMultilevel"/>
    <w:tmpl w:val="61348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44664"/>
    <w:multiLevelType w:val="multilevel"/>
    <w:tmpl w:val="7D3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13272"/>
    <w:multiLevelType w:val="hybridMultilevel"/>
    <w:tmpl w:val="D4822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168E0"/>
    <w:multiLevelType w:val="hybridMultilevel"/>
    <w:tmpl w:val="724C3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9E1054"/>
    <w:multiLevelType w:val="hybridMultilevel"/>
    <w:tmpl w:val="4D9CCF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C145A"/>
    <w:multiLevelType w:val="hybridMultilevel"/>
    <w:tmpl w:val="C8C2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6181A"/>
    <w:multiLevelType w:val="multilevel"/>
    <w:tmpl w:val="C052A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6444549">
    <w:abstractNumId w:val="15"/>
  </w:num>
  <w:num w:numId="2" w16cid:durableId="197552854">
    <w:abstractNumId w:val="25"/>
  </w:num>
  <w:num w:numId="3" w16cid:durableId="1481077450">
    <w:abstractNumId w:val="33"/>
  </w:num>
  <w:num w:numId="4" w16cid:durableId="827088450">
    <w:abstractNumId w:val="13"/>
  </w:num>
  <w:num w:numId="5" w16cid:durableId="3284120">
    <w:abstractNumId w:val="24"/>
  </w:num>
  <w:num w:numId="6" w16cid:durableId="32776414">
    <w:abstractNumId w:val="23"/>
  </w:num>
  <w:num w:numId="7" w16cid:durableId="453787588">
    <w:abstractNumId w:val="29"/>
  </w:num>
  <w:num w:numId="8" w16cid:durableId="686560853">
    <w:abstractNumId w:val="3"/>
  </w:num>
  <w:num w:numId="9" w16cid:durableId="1584726113">
    <w:abstractNumId w:val="2"/>
  </w:num>
  <w:num w:numId="10" w16cid:durableId="112943456">
    <w:abstractNumId w:val="22"/>
  </w:num>
  <w:num w:numId="11" w16cid:durableId="1203252046">
    <w:abstractNumId w:val="6"/>
  </w:num>
  <w:num w:numId="12" w16cid:durableId="654144190">
    <w:abstractNumId w:val="21"/>
  </w:num>
  <w:num w:numId="13" w16cid:durableId="1148668234">
    <w:abstractNumId w:val="17"/>
  </w:num>
  <w:num w:numId="14" w16cid:durableId="2093550327">
    <w:abstractNumId w:val="9"/>
  </w:num>
  <w:num w:numId="15" w16cid:durableId="565722348">
    <w:abstractNumId w:val="1"/>
  </w:num>
  <w:num w:numId="16" w16cid:durableId="830606556">
    <w:abstractNumId w:val="7"/>
  </w:num>
  <w:num w:numId="17" w16cid:durableId="926110425">
    <w:abstractNumId w:val="5"/>
  </w:num>
  <w:num w:numId="18" w16cid:durableId="1722316342">
    <w:abstractNumId w:val="26"/>
  </w:num>
  <w:num w:numId="19" w16cid:durableId="920217933">
    <w:abstractNumId w:val="16"/>
  </w:num>
  <w:num w:numId="20" w16cid:durableId="1880507413">
    <w:abstractNumId w:val="27"/>
  </w:num>
  <w:num w:numId="21" w16cid:durableId="201945812">
    <w:abstractNumId w:val="11"/>
  </w:num>
  <w:num w:numId="22" w16cid:durableId="1420250489">
    <w:abstractNumId w:val="8"/>
  </w:num>
  <w:num w:numId="23" w16cid:durableId="354619511">
    <w:abstractNumId w:val="20"/>
  </w:num>
  <w:num w:numId="24" w16cid:durableId="2123766514">
    <w:abstractNumId w:val="30"/>
  </w:num>
  <w:num w:numId="25" w16cid:durableId="1412390256">
    <w:abstractNumId w:val="28"/>
  </w:num>
  <w:num w:numId="26" w16cid:durableId="1535461238">
    <w:abstractNumId w:val="4"/>
  </w:num>
  <w:num w:numId="27" w16cid:durableId="461534368">
    <w:abstractNumId w:val="14"/>
  </w:num>
  <w:num w:numId="28" w16cid:durableId="991955745">
    <w:abstractNumId w:val="19"/>
  </w:num>
  <w:num w:numId="29" w16cid:durableId="1629824151">
    <w:abstractNumId w:val="0"/>
  </w:num>
  <w:num w:numId="30" w16cid:durableId="437453226">
    <w:abstractNumId w:val="0"/>
  </w:num>
  <w:num w:numId="31" w16cid:durableId="529299025">
    <w:abstractNumId w:val="32"/>
  </w:num>
  <w:num w:numId="32" w16cid:durableId="1636838700">
    <w:abstractNumId w:val="12"/>
  </w:num>
  <w:num w:numId="33" w16cid:durableId="109711780">
    <w:abstractNumId w:val="31"/>
  </w:num>
  <w:num w:numId="34" w16cid:durableId="631908754">
    <w:abstractNumId w:val="10"/>
  </w:num>
  <w:num w:numId="35" w16cid:durableId="1468622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43BC"/>
    <w:rsid w:val="0001638F"/>
    <w:rsid w:val="000459A9"/>
    <w:rsid w:val="00046064"/>
    <w:rsid w:val="00051AF6"/>
    <w:rsid w:val="00070C74"/>
    <w:rsid w:val="0007359D"/>
    <w:rsid w:val="0009147F"/>
    <w:rsid w:val="000B62B2"/>
    <w:rsid w:val="000D328B"/>
    <w:rsid w:val="000D5A72"/>
    <w:rsid w:val="00105453"/>
    <w:rsid w:val="00115C25"/>
    <w:rsid w:val="00116AAB"/>
    <w:rsid w:val="0011702B"/>
    <w:rsid w:val="001244A3"/>
    <w:rsid w:val="00133922"/>
    <w:rsid w:val="00142ECA"/>
    <w:rsid w:val="00145241"/>
    <w:rsid w:val="001471B0"/>
    <w:rsid w:val="001606BC"/>
    <w:rsid w:val="00161C50"/>
    <w:rsid w:val="001661AF"/>
    <w:rsid w:val="00171FBB"/>
    <w:rsid w:val="00181F4A"/>
    <w:rsid w:val="001A4171"/>
    <w:rsid w:val="001C5F8D"/>
    <w:rsid w:val="001D0F9A"/>
    <w:rsid w:val="001D1D4B"/>
    <w:rsid w:val="001D3B0B"/>
    <w:rsid w:val="001E1CBF"/>
    <w:rsid w:val="001E54BD"/>
    <w:rsid w:val="001F4A81"/>
    <w:rsid w:val="00213EF2"/>
    <w:rsid w:val="0022026F"/>
    <w:rsid w:val="00225CF6"/>
    <w:rsid w:val="00235C75"/>
    <w:rsid w:val="00235C83"/>
    <w:rsid w:val="00241A77"/>
    <w:rsid w:val="00252E83"/>
    <w:rsid w:val="00262104"/>
    <w:rsid w:val="002802E6"/>
    <w:rsid w:val="00280736"/>
    <w:rsid w:val="00283AE2"/>
    <w:rsid w:val="002924F9"/>
    <w:rsid w:val="00295B4D"/>
    <w:rsid w:val="002A49E4"/>
    <w:rsid w:val="002A6352"/>
    <w:rsid w:val="002A7523"/>
    <w:rsid w:val="002B1013"/>
    <w:rsid w:val="002B6138"/>
    <w:rsid w:val="002C23E6"/>
    <w:rsid w:val="002D0727"/>
    <w:rsid w:val="002D463A"/>
    <w:rsid w:val="002D4AC5"/>
    <w:rsid w:val="002D4B51"/>
    <w:rsid w:val="002D4EA4"/>
    <w:rsid w:val="002E2207"/>
    <w:rsid w:val="002E58E7"/>
    <w:rsid w:val="002F14AB"/>
    <w:rsid w:val="002F285E"/>
    <w:rsid w:val="002F5A0C"/>
    <w:rsid w:val="00304A4C"/>
    <w:rsid w:val="00305EBF"/>
    <w:rsid w:val="00306C34"/>
    <w:rsid w:val="00313447"/>
    <w:rsid w:val="00326717"/>
    <w:rsid w:val="0033269D"/>
    <w:rsid w:val="00332CB2"/>
    <w:rsid w:val="00332DDF"/>
    <w:rsid w:val="00350BFE"/>
    <w:rsid w:val="0035184C"/>
    <w:rsid w:val="00361753"/>
    <w:rsid w:val="00365E7B"/>
    <w:rsid w:val="00374B78"/>
    <w:rsid w:val="00385F96"/>
    <w:rsid w:val="0039357F"/>
    <w:rsid w:val="00395618"/>
    <w:rsid w:val="00397309"/>
    <w:rsid w:val="003A337D"/>
    <w:rsid w:val="003B4DCF"/>
    <w:rsid w:val="003C34A4"/>
    <w:rsid w:val="003E40A5"/>
    <w:rsid w:val="003E70F4"/>
    <w:rsid w:val="0040582A"/>
    <w:rsid w:val="00416809"/>
    <w:rsid w:val="00421BD6"/>
    <w:rsid w:val="004224D4"/>
    <w:rsid w:val="00424186"/>
    <w:rsid w:val="0043067A"/>
    <w:rsid w:val="00433288"/>
    <w:rsid w:val="00451446"/>
    <w:rsid w:val="004663E6"/>
    <w:rsid w:val="004716AE"/>
    <w:rsid w:val="004911FF"/>
    <w:rsid w:val="00492499"/>
    <w:rsid w:val="004B371E"/>
    <w:rsid w:val="004B4D45"/>
    <w:rsid w:val="004B4E4E"/>
    <w:rsid w:val="004C33BB"/>
    <w:rsid w:val="004D4659"/>
    <w:rsid w:val="004E2D3B"/>
    <w:rsid w:val="00504923"/>
    <w:rsid w:val="0051318B"/>
    <w:rsid w:val="0052237D"/>
    <w:rsid w:val="00526331"/>
    <w:rsid w:val="005355C3"/>
    <w:rsid w:val="00543C88"/>
    <w:rsid w:val="00550291"/>
    <w:rsid w:val="0055071F"/>
    <w:rsid w:val="005570B2"/>
    <w:rsid w:val="005614C0"/>
    <w:rsid w:val="00566D1C"/>
    <w:rsid w:val="00584AF5"/>
    <w:rsid w:val="00584B47"/>
    <w:rsid w:val="005A1654"/>
    <w:rsid w:val="005B15E5"/>
    <w:rsid w:val="005B6911"/>
    <w:rsid w:val="005C0FA5"/>
    <w:rsid w:val="005C6A13"/>
    <w:rsid w:val="005D4229"/>
    <w:rsid w:val="005D4764"/>
    <w:rsid w:val="005E7CB1"/>
    <w:rsid w:val="00613D2C"/>
    <w:rsid w:val="00620775"/>
    <w:rsid w:val="00621040"/>
    <w:rsid w:val="00621D29"/>
    <w:rsid w:val="00632C46"/>
    <w:rsid w:val="00632D43"/>
    <w:rsid w:val="00640E56"/>
    <w:rsid w:val="00650110"/>
    <w:rsid w:val="006516C6"/>
    <w:rsid w:val="00652554"/>
    <w:rsid w:val="00652D43"/>
    <w:rsid w:val="00667159"/>
    <w:rsid w:val="00671F7A"/>
    <w:rsid w:val="00681F0D"/>
    <w:rsid w:val="00683476"/>
    <w:rsid w:val="006934ED"/>
    <w:rsid w:val="00697899"/>
    <w:rsid w:val="006A0CB2"/>
    <w:rsid w:val="006A2129"/>
    <w:rsid w:val="006A4347"/>
    <w:rsid w:val="006B6512"/>
    <w:rsid w:val="006C0E6A"/>
    <w:rsid w:val="006E2BB6"/>
    <w:rsid w:val="006F1AB2"/>
    <w:rsid w:val="007015A1"/>
    <w:rsid w:val="00713BBB"/>
    <w:rsid w:val="00717227"/>
    <w:rsid w:val="00721DDD"/>
    <w:rsid w:val="007269E0"/>
    <w:rsid w:val="00727EC2"/>
    <w:rsid w:val="00731C5A"/>
    <w:rsid w:val="00740F49"/>
    <w:rsid w:val="00751874"/>
    <w:rsid w:val="007626CE"/>
    <w:rsid w:val="00762CE2"/>
    <w:rsid w:val="00766FAF"/>
    <w:rsid w:val="00771F1B"/>
    <w:rsid w:val="007744F0"/>
    <w:rsid w:val="007750A6"/>
    <w:rsid w:val="007916A8"/>
    <w:rsid w:val="00793460"/>
    <w:rsid w:val="0079411E"/>
    <w:rsid w:val="00794730"/>
    <w:rsid w:val="007A4633"/>
    <w:rsid w:val="007B2C49"/>
    <w:rsid w:val="007C397F"/>
    <w:rsid w:val="007C6E1F"/>
    <w:rsid w:val="007C7CC0"/>
    <w:rsid w:val="007D2894"/>
    <w:rsid w:val="007D39FA"/>
    <w:rsid w:val="007D609D"/>
    <w:rsid w:val="007D6EED"/>
    <w:rsid w:val="007E0E98"/>
    <w:rsid w:val="007E69B6"/>
    <w:rsid w:val="00804BB7"/>
    <w:rsid w:val="0081554D"/>
    <w:rsid w:val="008166C6"/>
    <w:rsid w:val="00825205"/>
    <w:rsid w:val="00826169"/>
    <w:rsid w:val="00837A30"/>
    <w:rsid w:val="00857476"/>
    <w:rsid w:val="00872272"/>
    <w:rsid w:val="00896AEA"/>
    <w:rsid w:val="008A360B"/>
    <w:rsid w:val="008B3913"/>
    <w:rsid w:val="008C4E9E"/>
    <w:rsid w:val="008C624C"/>
    <w:rsid w:val="008D7E2E"/>
    <w:rsid w:val="008E2B51"/>
    <w:rsid w:val="0090025E"/>
    <w:rsid w:val="009115C0"/>
    <w:rsid w:val="0091516F"/>
    <w:rsid w:val="00916049"/>
    <w:rsid w:val="009244DC"/>
    <w:rsid w:val="0093731B"/>
    <w:rsid w:val="00940E3A"/>
    <w:rsid w:val="00970283"/>
    <w:rsid w:val="009779A6"/>
    <w:rsid w:val="00980DC3"/>
    <w:rsid w:val="00981238"/>
    <w:rsid w:val="00996D71"/>
    <w:rsid w:val="009A1CCE"/>
    <w:rsid w:val="009A1F83"/>
    <w:rsid w:val="009C038E"/>
    <w:rsid w:val="009C41B5"/>
    <w:rsid w:val="009D3B8C"/>
    <w:rsid w:val="009E778B"/>
    <w:rsid w:val="009F43C1"/>
    <w:rsid w:val="00A03FBE"/>
    <w:rsid w:val="00A061E8"/>
    <w:rsid w:val="00A225DE"/>
    <w:rsid w:val="00A25523"/>
    <w:rsid w:val="00A359EF"/>
    <w:rsid w:val="00A363AF"/>
    <w:rsid w:val="00A504C9"/>
    <w:rsid w:val="00A8160A"/>
    <w:rsid w:val="00A96691"/>
    <w:rsid w:val="00AA02FC"/>
    <w:rsid w:val="00AA2A06"/>
    <w:rsid w:val="00AB3C7E"/>
    <w:rsid w:val="00AB6877"/>
    <w:rsid w:val="00AC100D"/>
    <w:rsid w:val="00AC4F8D"/>
    <w:rsid w:val="00AC60BD"/>
    <w:rsid w:val="00AD0E20"/>
    <w:rsid w:val="00AD5C79"/>
    <w:rsid w:val="00AE3638"/>
    <w:rsid w:val="00AF5178"/>
    <w:rsid w:val="00B05A73"/>
    <w:rsid w:val="00B102A9"/>
    <w:rsid w:val="00B22130"/>
    <w:rsid w:val="00B24019"/>
    <w:rsid w:val="00B25968"/>
    <w:rsid w:val="00B25B46"/>
    <w:rsid w:val="00B3203E"/>
    <w:rsid w:val="00B35D85"/>
    <w:rsid w:val="00B6326F"/>
    <w:rsid w:val="00B8057D"/>
    <w:rsid w:val="00B96686"/>
    <w:rsid w:val="00B96A56"/>
    <w:rsid w:val="00BA22DE"/>
    <w:rsid w:val="00BB4B52"/>
    <w:rsid w:val="00BC50A5"/>
    <w:rsid w:val="00BC571B"/>
    <w:rsid w:val="00BD5296"/>
    <w:rsid w:val="00BE6EA5"/>
    <w:rsid w:val="00BF10FC"/>
    <w:rsid w:val="00BF11BD"/>
    <w:rsid w:val="00C157C5"/>
    <w:rsid w:val="00C360D4"/>
    <w:rsid w:val="00C4215A"/>
    <w:rsid w:val="00C54852"/>
    <w:rsid w:val="00C54DA3"/>
    <w:rsid w:val="00C57EC0"/>
    <w:rsid w:val="00C81F2D"/>
    <w:rsid w:val="00C82C55"/>
    <w:rsid w:val="00C86AE7"/>
    <w:rsid w:val="00C878B3"/>
    <w:rsid w:val="00C91320"/>
    <w:rsid w:val="00C9135E"/>
    <w:rsid w:val="00CA08D6"/>
    <w:rsid w:val="00CA5079"/>
    <w:rsid w:val="00CB3DAE"/>
    <w:rsid w:val="00CB4F7D"/>
    <w:rsid w:val="00CD1D9C"/>
    <w:rsid w:val="00CD4023"/>
    <w:rsid w:val="00CE27B1"/>
    <w:rsid w:val="00CF39C7"/>
    <w:rsid w:val="00D01DC1"/>
    <w:rsid w:val="00D02D50"/>
    <w:rsid w:val="00D1142D"/>
    <w:rsid w:val="00D13505"/>
    <w:rsid w:val="00D2235A"/>
    <w:rsid w:val="00D23F44"/>
    <w:rsid w:val="00D4228D"/>
    <w:rsid w:val="00D53380"/>
    <w:rsid w:val="00D63D01"/>
    <w:rsid w:val="00D66582"/>
    <w:rsid w:val="00D76C77"/>
    <w:rsid w:val="00D967BB"/>
    <w:rsid w:val="00DA3805"/>
    <w:rsid w:val="00DA49A3"/>
    <w:rsid w:val="00DB002E"/>
    <w:rsid w:val="00DB1F3F"/>
    <w:rsid w:val="00DB4BDF"/>
    <w:rsid w:val="00DC1E72"/>
    <w:rsid w:val="00DC6F03"/>
    <w:rsid w:val="00DE24FD"/>
    <w:rsid w:val="00DF6961"/>
    <w:rsid w:val="00E033F2"/>
    <w:rsid w:val="00E41092"/>
    <w:rsid w:val="00E4502A"/>
    <w:rsid w:val="00E51646"/>
    <w:rsid w:val="00E5769F"/>
    <w:rsid w:val="00E71C0C"/>
    <w:rsid w:val="00E7577E"/>
    <w:rsid w:val="00E846E3"/>
    <w:rsid w:val="00E9235B"/>
    <w:rsid w:val="00EB09AA"/>
    <w:rsid w:val="00EB3BA9"/>
    <w:rsid w:val="00EB6C86"/>
    <w:rsid w:val="00EB6FD7"/>
    <w:rsid w:val="00ED0A38"/>
    <w:rsid w:val="00ED6526"/>
    <w:rsid w:val="00EE19B4"/>
    <w:rsid w:val="00EE1F8A"/>
    <w:rsid w:val="00EE39A5"/>
    <w:rsid w:val="00EE6233"/>
    <w:rsid w:val="00EF7411"/>
    <w:rsid w:val="00F1560E"/>
    <w:rsid w:val="00F37812"/>
    <w:rsid w:val="00F47EF5"/>
    <w:rsid w:val="00F55B0A"/>
    <w:rsid w:val="00F67567"/>
    <w:rsid w:val="00F77000"/>
    <w:rsid w:val="00F7730B"/>
    <w:rsid w:val="00F81FCD"/>
    <w:rsid w:val="00F85540"/>
    <w:rsid w:val="00F858A1"/>
    <w:rsid w:val="00F91880"/>
    <w:rsid w:val="00F9485D"/>
    <w:rsid w:val="00FA49A8"/>
    <w:rsid w:val="00FA571B"/>
    <w:rsid w:val="00FC0216"/>
    <w:rsid w:val="00FC458F"/>
    <w:rsid w:val="00FD7ACD"/>
    <w:rsid w:val="00FE7472"/>
    <w:rsid w:val="00FF0808"/>
    <w:rsid w:val="00FF215E"/>
    <w:rsid w:val="00FF25E3"/>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4986">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17397">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676083807">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4784509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arity-fundraising-appeals-for-specific-purposes" TargetMode="External"/><Relationship Id="rId18" Type="http://schemas.openxmlformats.org/officeDocument/2006/relationships/hyperlink" Target="https://www.gov.uk/government/publications/charities-due-diligence-checks-and-monitoring-end-use-of-funds" TargetMode="External"/><Relationship Id="rId26" Type="http://schemas.openxmlformats.org/officeDocument/2006/relationships/hyperlink" Target="http://www.charityexcellence.co.uk" TargetMode="External"/><Relationship Id="rId3" Type="http://schemas.openxmlformats.org/officeDocument/2006/relationships/customXml" Target="../customXml/item3.xml"/><Relationship Id="rId21" Type="http://schemas.openxmlformats.org/officeDocument/2006/relationships/hyperlink" Target="https://www.fundraisingregulator.org.uk/code/all-fundraising/behaviour-when-fundraising" TargetMode="External"/><Relationship Id="rId7" Type="http://schemas.openxmlformats.org/officeDocument/2006/relationships/webSettings" Target="webSettings.xml"/><Relationship Id="rId12" Type="http://schemas.openxmlformats.org/officeDocument/2006/relationships/hyperlink" Target="https://www.gov.uk/government/publications/ex-gratia-payments-by-charities-cc7/ex-gratia-payments-by-charities-cc7" TargetMode="External"/><Relationship Id="rId17" Type="http://schemas.openxmlformats.org/officeDocument/2006/relationships/hyperlink" Target="https://www.gov.uk/government/uploads/system/uploads/attachment_data/file/571773/Chapter4_Tool2.pdf" TargetMode="External"/><Relationship Id="rId25" Type="http://schemas.openxmlformats.org/officeDocument/2006/relationships/hyperlink" Target="mailto:ian@charityexcellence.co.uk" TargetMode="External"/><Relationship Id="rId2" Type="http://schemas.openxmlformats.org/officeDocument/2006/relationships/customXml" Target="../customXml/item2.xml"/><Relationship Id="rId16" Type="http://schemas.openxmlformats.org/officeDocument/2006/relationships/hyperlink" Target="https://www.gov.uk/government/news/be-aware-of-suspect-donations-advice-for-charities" TargetMode="External"/><Relationship Id="rId20" Type="http://schemas.openxmlformats.org/officeDocument/2006/relationships/hyperlink" Target="https://www.gov.uk/government/publications/charities-detailed-guidance-notes/annex-viii-tainted-charity-don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accepting-refusing-and-returning-donations-to-your-charity" TargetMode="External"/><Relationship Id="rId24" Type="http://schemas.openxmlformats.org/officeDocument/2006/relationships/hyperlink" Target="https://bateswells.co.uk/updates/briefing-for-charities-and-social-enterprises/"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550698/Tool_9.pdf" TargetMode="External"/><Relationship Id="rId23" Type="http://schemas.openxmlformats.org/officeDocument/2006/relationships/hyperlink" Target="https://www.charityexcellence.co.uk/free-charity-help-finder/" TargetMode="External"/><Relationship Id="rId28" Type="http://schemas.openxmlformats.org/officeDocument/2006/relationships/header" Target="header1.xml"/><Relationship Id="rId10" Type="http://schemas.openxmlformats.org/officeDocument/2006/relationships/hyperlink" Target="https://www.linkedin.com/pulse/why-we-need-how-do-ian-mclintock/" TargetMode="External"/><Relationship Id="rId19" Type="http://schemas.openxmlformats.org/officeDocument/2006/relationships/hyperlink" Target="https://www.gov.uk/government/publications/current-list-of-designated-persons-terrorism-and-terrorist-financin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550694/Tool_6.pdf" TargetMode="External"/><Relationship Id="rId22" Type="http://schemas.openxmlformats.org/officeDocument/2006/relationships/hyperlink" Target="http://www.fundraisingregulator.org.uk/sites/default/files/2025-04/Due%20diligence%20and%20fundraising_.pdf" TargetMode="External"/><Relationship Id="rId27" Type="http://schemas.openxmlformats.org/officeDocument/2006/relationships/hyperlink" Target="https://www.fundraisingregulator.org.uk/code/code-2025"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9260-AA4D-410C-8717-C93038F26831}">
  <ds:schemaRefs>
    <ds:schemaRef ds:uri="http://schemas.microsoft.com/sharepoint/v3/contenttype/forms"/>
  </ds:schemaRefs>
</ds:datastoreItem>
</file>

<file path=customXml/itemProps2.xml><?xml version="1.0" encoding="utf-8"?>
<ds:datastoreItem xmlns:ds="http://schemas.openxmlformats.org/officeDocument/2006/customXml" ds:itemID="{19272053-7053-4D09-A2EE-0D371499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66064-28E5-45EF-8DD2-2D6B7673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8</cp:revision>
  <cp:lastPrinted>2019-10-26T09:39:00Z</cp:lastPrinted>
  <dcterms:created xsi:type="dcterms:W3CDTF">2024-03-06T08:14:00Z</dcterms:created>
  <dcterms:modified xsi:type="dcterms:W3CDTF">2025-04-29T12:06:00Z</dcterms:modified>
</cp:coreProperties>
</file>