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F547" w14:textId="5A02A015" w:rsidR="00EB09AA" w:rsidRDefault="00D27EB4" w:rsidP="00EF7411">
      <w:pPr>
        <w:pStyle w:val="Alumna"/>
        <w:rPr>
          <w:rFonts w:cstheme="majorHAnsi"/>
          <w:bCs/>
          <w:color w:val="auto"/>
          <w:sz w:val="24"/>
          <w:szCs w:val="24"/>
        </w:rPr>
      </w:pPr>
      <w:r>
        <w:rPr>
          <w:rFonts w:cstheme="majorHAnsi"/>
        </w:rPr>
        <w:t>Reserved Powers</w:t>
      </w:r>
    </w:p>
    <w:p w14:paraId="009C2A44" w14:textId="7CFD73E9" w:rsidR="00216B55" w:rsidRPr="00216B55" w:rsidRDefault="00047C9F" w:rsidP="00047C9F">
      <w:pPr>
        <w:rPr>
          <w:rFonts w:ascii="Century Gothic" w:hAnsi="Century Gothic"/>
          <w:b/>
          <w:bCs/>
          <w:color w:val="1F4E79" w:themeColor="accent5" w:themeShade="80"/>
          <w:sz w:val="28"/>
          <w:szCs w:val="28"/>
        </w:rPr>
      </w:pPr>
      <w:r w:rsidRPr="00216B55">
        <w:rPr>
          <w:rFonts w:ascii="Century Gothic" w:hAnsi="Century Gothic"/>
          <w:b/>
          <w:bCs/>
          <w:color w:val="1F4E79" w:themeColor="accent5" w:themeShade="80"/>
          <w:sz w:val="28"/>
          <w:szCs w:val="28"/>
        </w:rPr>
        <w:t xml:space="preserve">Reserved </w:t>
      </w:r>
      <w:r w:rsidR="00216B55" w:rsidRPr="00216B55">
        <w:rPr>
          <w:rFonts w:ascii="Century Gothic" w:hAnsi="Century Gothic"/>
          <w:b/>
          <w:bCs/>
          <w:color w:val="1F4E79" w:themeColor="accent5" w:themeShade="80"/>
          <w:sz w:val="28"/>
          <w:szCs w:val="28"/>
        </w:rPr>
        <w:t>P</w:t>
      </w:r>
      <w:r w:rsidRPr="00216B55">
        <w:rPr>
          <w:rFonts w:ascii="Century Gothic" w:hAnsi="Century Gothic"/>
          <w:b/>
          <w:bCs/>
          <w:color w:val="1F4E79" w:themeColor="accent5" w:themeShade="80"/>
          <w:sz w:val="28"/>
          <w:szCs w:val="28"/>
        </w:rPr>
        <w:t>owers</w:t>
      </w:r>
    </w:p>
    <w:p w14:paraId="735D0A12" w14:textId="77777777" w:rsidR="00216B55" w:rsidRDefault="00216B55" w:rsidP="00047C9F">
      <w:pPr>
        <w:rPr>
          <w:rFonts w:asciiTheme="majorHAnsi" w:hAnsiTheme="majorHAnsi"/>
          <w:color w:val="auto"/>
          <w:szCs w:val="24"/>
        </w:rPr>
      </w:pPr>
    </w:p>
    <w:p w14:paraId="4DA9A171" w14:textId="2C30D23E" w:rsidR="00047C9F" w:rsidRPr="00A7581C" w:rsidRDefault="00216B55" w:rsidP="00047C9F">
      <w:pPr>
        <w:rPr>
          <w:rFonts w:asciiTheme="majorHAnsi" w:hAnsiTheme="majorHAnsi"/>
          <w:color w:val="auto"/>
          <w:szCs w:val="24"/>
        </w:rPr>
      </w:pPr>
      <w:r>
        <w:rPr>
          <w:rFonts w:asciiTheme="majorHAnsi" w:hAnsiTheme="majorHAnsi"/>
          <w:color w:val="auto"/>
          <w:szCs w:val="24"/>
        </w:rPr>
        <w:t>M</w:t>
      </w:r>
      <w:r w:rsidR="00047C9F" w:rsidRPr="00A7581C">
        <w:rPr>
          <w:rFonts w:asciiTheme="majorHAnsi" w:hAnsiTheme="majorHAnsi"/>
          <w:color w:val="auto"/>
          <w:szCs w:val="24"/>
        </w:rPr>
        <w:t xml:space="preserve">atters, which may only be dealt with by the Board </w:t>
      </w:r>
      <w:r w:rsidR="00B950E3">
        <w:rPr>
          <w:rFonts w:asciiTheme="majorHAnsi" w:hAnsiTheme="majorHAnsi"/>
          <w:color w:val="auto"/>
          <w:szCs w:val="24"/>
        </w:rPr>
        <w:t xml:space="preserve">as a whole </w:t>
      </w:r>
      <w:r w:rsidR="00047C9F" w:rsidRPr="00A7581C">
        <w:rPr>
          <w:rFonts w:asciiTheme="majorHAnsi" w:hAnsiTheme="majorHAnsi"/>
          <w:color w:val="auto"/>
          <w:szCs w:val="24"/>
        </w:rPr>
        <w:t xml:space="preserve">and may not be delegated. </w:t>
      </w:r>
    </w:p>
    <w:p w14:paraId="431AB8E5" w14:textId="73340966" w:rsidR="00A7075B" w:rsidRPr="00A7581C" w:rsidRDefault="00A7075B" w:rsidP="00047C9F">
      <w:pPr>
        <w:rPr>
          <w:rFonts w:asciiTheme="majorHAnsi" w:hAnsiTheme="majorHAnsi"/>
          <w:color w:val="auto"/>
          <w:szCs w:val="24"/>
        </w:rPr>
      </w:pPr>
    </w:p>
    <w:p w14:paraId="3FACC830"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Organisational and any other underpinning strategies.</w:t>
      </w:r>
    </w:p>
    <w:p w14:paraId="6288A6B0"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Annual business (operations), budget and risk management plans.</w:t>
      </w:r>
    </w:p>
    <w:p w14:paraId="2F6F9231"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Annual Accounts and Directors’ Report.</w:t>
      </w:r>
    </w:p>
    <w:p w14:paraId="66483CFD"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Appointment of the auditor/independent examiner and annual audit report.</w:t>
      </w:r>
    </w:p>
    <w:p w14:paraId="7C5891EB"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Major projects.</w:t>
      </w:r>
    </w:p>
    <w:p w14:paraId="6CE2E6AB" w14:textId="4B9272FE"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 xml:space="preserve">Contracts </w:t>
      </w:r>
      <w:proofErr w:type="gramStart"/>
      <w:r w:rsidRPr="00A7581C">
        <w:rPr>
          <w:rFonts w:asciiTheme="majorHAnsi" w:hAnsiTheme="majorHAnsi" w:cstheme="majorHAnsi"/>
          <w:color w:val="auto"/>
          <w:sz w:val="24"/>
          <w:szCs w:val="24"/>
        </w:rPr>
        <w:t>in excess of</w:t>
      </w:r>
      <w:proofErr w:type="gramEnd"/>
      <w:r w:rsidRPr="00A7581C">
        <w:rPr>
          <w:rFonts w:asciiTheme="majorHAnsi" w:hAnsiTheme="majorHAnsi" w:cstheme="majorHAnsi"/>
          <w:color w:val="auto"/>
          <w:sz w:val="24"/>
          <w:szCs w:val="24"/>
        </w:rPr>
        <w:t xml:space="preserve"> £</w:t>
      </w:r>
      <w:proofErr w:type="spellStart"/>
      <w:r w:rsidR="001F1DF5">
        <w:rPr>
          <w:rFonts w:asciiTheme="majorHAnsi" w:hAnsiTheme="majorHAnsi" w:cstheme="majorHAnsi"/>
          <w:color w:val="auto"/>
          <w:sz w:val="24"/>
          <w:szCs w:val="24"/>
        </w:rPr>
        <w:t>xxxx</w:t>
      </w:r>
      <w:proofErr w:type="spellEnd"/>
      <w:r w:rsidRPr="00A7581C">
        <w:rPr>
          <w:rFonts w:asciiTheme="majorHAnsi" w:hAnsiTheme="majorHAnsi" w:cstheme="majorHAnsi"/>
          <w:color w:val="auto"/>
          <w:sz w:val="24"/>
          <w:szCs w:val="24"/>
        </w:rPr>
        <w:t xml:space="preserve"> per annum, or longer than </w:t>
      </w:r>
      <w:r w:rsidR="001F1DF5">
        <w:rPr>
          <w:rFonts w:asciiTheme="majorHAnsi" w:hAnsiTheme="majorHAnsi" w:cstheme="majorHAnsi"/>
          <w:color w:val="auto"/>
          <w:sz w:val="24"/>
          <w:szCs w:val="24"/>
        </w:rPr>
        <w:t>x</w:t>
      </w:r>
      <w:r w:rsidRPr="00A7581C">
        <w:rPr>
          <w:rFonts w:asciiTheme="majorHAnsi" w:hAnsiTheme="majorHAnsi" w:cstheme="majorHAnsi"/>
          <w:color w:val="auto"/>
          <w:sz w:val="24"/>
          <w:szCs w:val="24"/>
        </w:rPr>
        <w:t xml:space="preserve"> years. </w:t>
      </w:r>
    </w:p>
    <w:p w14:paraId="4CF999E9" w14:textId="3D085AA7" w:rsidR="00B950E3" w:rsidRPr="004A0B9C" w:rsidRDefault="00B950E3" w:rsidP="00BA07EA">
      <w:pPr>
        <w:pStyle w:val="ListParagraph"/>
        <w:numPr>
          <w:ilvl w:val="0"/>
          <w:numId w:val="25"/>
        </w:numPr>
        <w:spacing w:after="0" w:line="240" w:lineRule="auto"/>
        <w:rPr>
          <w:rFonts w:asciiTheme="majorHAnsi" w:hAnsiTheme="majorHAnsi" w:cstheme="majorHAnsi"/>
          <w:color w:val="auto"/>
          <w:sz w:val="24"/>
          <w:szCs w:val="24"/>
        </w:rPr>
      </w:pPr>
      <w:r w:rsidRPr="004A0B9C">
        <w:rPr>
          <w:rFonts w:asciiTheme="majorHAnsi" w:hAnsiTheme="majorHAnsi" w:cstheme="majorHAnsi"/>
          <w:color w:val="auto"/>
          <w:sz w:val="24"/>
          <w:szCs w:val="24"/>
        </w:rPr>
        <w:t xml:space="preserve">Major changes to the </w:t>
      </w:r>
      <w:r w:rsidR="001F1DF5">
        <w:rPr>
          <w:rFonts w:asciiTheme="majorHAnsi" w:hAnsiTheme="majorHAnsi" w:cstheme="majorHAnsi"/>
          <w:color w:val="auto"/>
          <w:sz w:val="24"/>
          <w:szCs w:val="24"/>
        </w:rPr>
        <w:t>…………………SLA, Lease, major contract</w:t>
      </w:r>
      <w:r w:rsidR="004A0B9C" w:rsidRPr="004A0B9C">
        <w:rPr>
          <w:rFonts w:asciiTheme="majorHAnsi" w:hAnsiTheme="majorHAnsi" w:cstheme="majorHAnsi"/>
          <w:color w:val="auto"/>
          <w:sz w:val="24"/>
          <w:szCs w:val="24"/>
        </w:rPr>
        <w:t xml:space="preserve">. </w:t>
      </w:r>
    </w:p>
    <w:p w14:paraId="1E925823" w14:textId="79E153CE" w:rsidR="00B950E3"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Opening of bank accounts or other forms of investment</w:t>
      </w:r>
      <w:r w:rsidRPr="001F1DF5">
        <w:rPr>
          <w:rFonts w:asciiTheme="majorHAnsi" w:hAnsiTheme="majorHAnsi" w:cstheme="majorHAnsi"/>
          <w:color w:val="auto"/>
          <w:sz w:val="24"/>
          <w:szCs w:val="24"/>
        </w:rPr>
        <w:t>, loans</w:t>
      </w:r>
      <w:r w:rsidRPr="00A7581C">
        <w:rPr>
          <w:rFonts w:asciiTheme="majorHAnsi" w:hAnsiTheme="majorHAnsi" w:cstheme="majorHAnsi"/>
          <w:color w:val="auto"/>
          <w:sz w:val="24"/>
          <w:szCs w:val="24"/>
        </w:rPr>
        <w:t xml:space="preserve">. </w:t>
      </w:r>
    </w:p>
    <w:p w14:paraId="76777D4F" w14:textId="77777777" w:rsidR="001F1DF5" w:rsidRPr="00A7581C" w:rsidRDefault="001F1DF5" w:rsidP="001F1DF5">
      <w:pPr>
        <w:pStyle w:val="ListParagraph"/>
        <w:numPr>
          <w:ilvl w:val="0"/>
          <w:numId w:val="25"/>
        </w:numPr>
        <w:spacing w:after="0" w:line="240" w:lineRule="auto"/>
        <w:rPr>
          <w:rFonts w:asciiTheme="majorHAnsi" w:hAnsiTheme="majorHAnsi" w:cstheme="majorHAnsi"/>
          <w:color w:val="auto"/>
          <w:sz w:val="24"/>
          <w:szCs w:val="24"/>
        </w:rPr>
      </w:pPr>
      <w:r>
        <w:rPr>
          <w:rFonts w:asciiTheme="majorHAnsi" w:hAnsiTheme="majorHAnsi" w:cstheme="majorHAnsi"/>
          <w:color w:val="auto"/>
          <w:sz w:val="24"/>
          <w:szCs w:val="24"/>
        </w:rPr>
        <w:t xml:space="preserve">Any payments </w:t>
      </w:r>
      <w:proofErr w:type="gramStart"/>
      <w:r>
        <w:rPr>
          <w:rFonts w:asciiTheme="majorHAnsi" w:hAnsiTheme="majorHAnsi" w:cstheme="majorHAnsi"/>
          <w:color w:val="auto"/>
          <w:sz w:val="24"/>
          <w:szCs w:val="24"/>
        </w:rPr>
        <w:t>in excess of</w:t>
      </w:r>
      <w:proofErr w:type="gramEnd"/>
      <w:r>
        <w:rPr>
          <w:rFonts w:asciiTheme="majorHAnsi" w:hAnsiTheme="majorHAnsi" w:cstheme="majorHAnsi"/>
          <w:color w:val="auto"/>
          <w:sz w:val="24"/>
          <w:szCs w:val="24"/>
        </w:rPr>
        <w:t xml:space="preserve"> £5k, that are not made under approved contracts and are not statutory obligations (PAYE) or payroll.</w:t>
      </w:r>
    </w:p>
    <w:p w14:paraId="6F4BFE0B"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 xml:space="preserve">Changes to staff remuneration and benefits, and approval of any </w:t>
      </w:r>
      <w:proofErr w:type="gramStart"/>
      <w:r w:rsidRPr="00A7581C">
        <w:rPr>
          <w:rFonts w:asciiTheme="majorHAnsi" w:hAnsiTheme="majorHAnsi" w:cstheme="majorHAnsi"/>
          <w:color w:val="auto"/>
          <w:sz w:val="24"/>
          <w:szCs w:val="24"/>
        </w:rPr>
        <w:t>ex gratia</w:t>
      </w:r>
      <w:proofErr w:type="gramEnd"/>
      <w:r w:rsidRPr="00A7581C">
        <w:rPr>
          <w:rFonts w:asciiTheme="majorHAnsi" w:hAnsiTheme="majorHAnsi" w:cstheme="majorHAnsi"/>
          <w:color w:val="auto"/>
          <w:sz w:val="24"/>
          <w:szCs w:val="24"/>
        </w:rPr>
        <w:t xml:space="preserve"> </w:t>
      </w:r>
      <w:r w:rsidRPr="00B950E3">
        <w:rPr>
          <w:rFonts w:asciiTheme="majorHAnsi" w:hAnsiTheme="majorHAnsi" w:cstheme="majorHAnsi"/>
          <w:color w:val="auto"/>
          <w:sz w:val="24"/>
          <w:szCs w:val="24"/>
        </w:rPr>
        <w:t>payments</w:t>
      </w:r>
      <w:r w:rsidRPr="004A0B9C">
        <w:rPr>
          <w:rFonts w:asciiTheme="majorHAnsi" w:hAnsiTheme="majorHAnsi" w:cstheme="majorHAnsi"/>
          <w:color w:val="auto"/>
          <w:sz w:val="24"/>
          <w:szCs w:val="24"/>
        </w:rPr>
        <w:t>/settlement agreements</w:t>
      </w:r>
      <w:r w:rsidRPr="00B950E3">
        <w:rPr>
          <w:rFonts w:asciiTheme="majorHAnsi" w:hAnsiTheme="majorHAnsi" w:cstheme="majorHAnsi"/>
          <w:color w:val="auto"/>
          <w:sz w:val="24"/>
          <w:szCs w:val="24"/>
        </w:rPr>
        <w:t>.</w:t>
      </w:r>
    </w:p>
    <w:p w14:paraId="49AAA3A7" w14:textId="77777777" w:rsidR="004A0B9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 xml:space="preserve">Appointment or dismissal of </w:t>
      </w:r>
      <w:r w:rsidR="004A0B9C">
        <w:rPr>
          <w:rFonts w:asciiTheme="majorHAnsi" w:hAnsiTheme="majorHAnsi" w:cstheme="majorHAnsi"/>
          <w:color w:val="auto"/>
          <w:sz w:val="24"/>
          <w:szCs w:val="24"/>
        </w:rPr>
        <w:t xml:space="preserve">a staff member. </w:t>
      </w:r>
    </w:p>
    <w:p w14:paraId="515DE933" w14:textId="07F14881" w:rsidR="00B950E3" w:rsidRPr="00A7581C" w:rsidRDefault="004A0B9C" w:rsidP="00B950E3">
      <w:pPr>
        <w:pStyle w:val="ListParagraph"/>
        <w:numPr>
          <w:ilvl w:val="0"/>
          <w:numId w:val="25"/>
        </w:numPr>
        <w:spacing w:after="0" w:line="240" w:lineRule="auto"/>
        <w:rPr>
          <w:rFonts w:asciiTheme="majorHAnsi" w:hAnsiTheme="majorHAnsi" w:cstheme="majorHAnsi"/>
          <w:color w:val="auto"/>
          <w:sz w:val="24"/>
          <w:szCs w:val="24"/>
        </w:rPr>
      </w:pPr>
      <w:r>
        <w:rPr>
          <w:rFonts w:asciiTheme="majorHAnsi" w:hAnsiTheme="majorHAnsi" w:cstheme="majorHAnsi"/>
          <w:color w:val="auto"/>
          <w:sz w:val="24"/>
          <w:szCs w:val="24"/>
        </w:rPr>
        <w:t xml:space="preserve">Initiation of HR action, such as disciplinary or capability, bit may be </w:t>
      </w:r>
      <w:proofErr w:type="gramStart"/>
      <w:r>
        <w:rPr>
          <w:rFonts w:asciiTheme="majorHAnsi" w:hAnsiTheme="majorHAnsi" w:cstheme="majorHAnsi"/>
          <w:color w:val="auto"/>
          <w:sz w:val="24"/>
          <w:szCs w:val="24"/>
        </w:rPr>
        <w:t>approve</w:t>
      </w:r>
      <w:proofErr w:type="gramEnd"/>
      <w:r>
        <w:rPr>
          <w:rFonts w:asciiTheme="majorHAnsi" w:hAnsiTheme="majorHAnsi" w:cstheme="majorHAnsi"/>
          <w:color w:val="auto"/>
          <w:sz w:val="24"/>
          <w:szCs w:val="24"/>
        </w:rPr>
        <w:t xml:space="preserve"> ex-committee. </w:t>
      </w:r>
      <w:r w:rsidR="00B950E3" w:rsidRPr="00A7581C">
        <w:rPr>
          <w:rFonts w:asciiTheme="majorHAnsi" w:hAnsiTheme="majorHAnsi" w:cstheme="majorHAnsi"/>
          <w:color w:val="auto"/>
          <w:sz w:val="24"/>
          <w:szCs w:val="24"/>
        </w:rPr>
        <w:t xml:space="preserve">  </w:t>
      </w:r>
    </w:p>
    <w:p w14:paraId="1AC83773"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Complaints or grievances raised against the CEO.</w:t>
      </w:r>
    </w:p>
    <w:p w14:paraId="0E03FC2A"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Public Disclosure Act (Whistleblowing)</w:t>
      </w:r>
      <w:r>
        <w:rPr>
          <w:rFonts w:asciiTheme="majorHAnsi" w:hAnsiTheme="majorHAnsi" w:cstheme="majorHAnsi"/>
        </w:rPr>
        <w:t xml:space="preserve"> </w:t>
      </w:r>
      <w:r w:rsidRPr="004A0B9C">
        <w:rPr>
          <w:rFonts w:asciiTheme="majorHAnsi" w:hAnsiTheme="majorHAnsi" w:cstheme="majorHAnsi"/>
          <w:color w:val="auto"/>
          <w:sz w:val="24"/>
          <w:szCs w:val="24"/>
        </w:rPr>
        <w:t>submissions</w:t>
      </w:r>
      <w:r w:rsidRPr="00A7581C">
        <w:rPr>
          <w:rFonts w:asciiTheme="majorHAnsi" w:hAnsiTheme="majorHAnsi" w:cstheme="majorHAnsi"/>
          <w:color w:val="auto"/>
          <w:sz w:val="24"/>
          <w:szCs w:val="24"/>
        </w:rPr>
        <w:t xml:space="preserve">. </w:t>
      </w:r>
    </w:p>
    <w:p w14:paraId="49ED9260"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 xml:space="preserve">Contract awards, payments etc to trustees, their close personal associates or company. </w:t>
      </w:r>
    </w:p>
    <w:p w14:paraId="5F157754"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 xml:space="preserve">Key policies, such as the H&amp;SW, safeguarding, data protection. </w:t>
      </w:r>
    </w:p>
    <w:p w14:paraId="558FC5F4" w14:textId="77777777" w:rsidR="00B950E3" w:rsidRPr="00A7581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 xml:space="preserve">Any decision to continue trading, where a material concern exists regarding insolvency. </w:t>
      </w:r>
    </w:p>
    <w:p w14:paraId="26D163F2" w14:textId="77777777" w:rsidR="004A0B9C" w:rsidRDefault="00B950E3" w:rsidP="00B950E3">
      <w:pPr>
        <w:pStyle w:val="ListParagraph"/>
        <w:numPr>
          <w:ilvl w:val="0"/>
          <w:numId w:val="25"/>
        </w:numPr>
        <w:spacing w:after="0" w:line="240" w:lineRule="auto"/>
        <w:rPr>
          <w:rFonts w:asciiTheme="majorHAnsi" w:hAnsiTheme="majorHAnsi" w:cstheme="majorHAnsi"/>
          <w:color w:val="auto"/>
          <w:sz w:val="24"/>
          <w:szCs w:val="24"/>
        </w:rPr>
      </w:pPr>
      <w:r w:rsidRPr="00A7581C">
        <w:rPr>
          <w:rFonts w:asciiTheme="majorHAnsi" w:hAnsiTheme="majorHAnsi" w:cstheme="majorHAnsi"/>
          <w:color w:val="auto"/>
          <w:sz w:val="24"/>
          <w:szCs w:val="24"/>
        </w:rPr>
        <w:t>Changes to the governing document.</w:t>
      </w:r>
    </w:p>
    <w:p w14:paraId="07AA05D3" w14:textId="53E167B1" w:rsidR="00B950E3" w:rsidRPr="00A7581C" w:rsidRDefault="004A0B9C" w:rsidP="00B950E3">
      <w:pPr>
        <w:pStyle w:val="ListParagraph"/>
        <w:numPr>
          <w:ilvl w:val="0"/>
          <w:numId w:val="25"/>
        </w:numPr>
        <w:spacing w:after="0" w:line="240" w:lineRule="auto"/>
        <w:rPr>
          <w:rFonts w:asciiTheme="majorHAnsi" w:hAnsiTheme="majorHAnsi" w:cstheme="majorHAnsi"/>
          <w:color w:val="auto"/>
          <w:sz w:val="24"/>
          <w:szCs w:val="24"/>
        </w:rPr>
      </w:pPr>
      <w:r>
        <w:rPr>
          <w:rFonts w:asciiTheme="majorHAnsi" w:hAnsiTheme="majorHAnsi" w:cstheme="majorHAnsi"/>
          <w:color w:val="auto"/>
          <w:sz w:val="24"/>
          <w:szCs w:val="24"/>
        </w:rPr>
        <w:t xml:space="preserve">Decisions which may be deemed to be either novel or contentious. </w:t>
      </w:r>
      <w:r w:rsidR="00B950E3" w:rsidRPr="00A7581C">
        <w:rPr>
          <w:rFonts w:asciiTheme="majorHAnsi" w:hAnsiTheme="majorHAnsi" w:cstheme="majorHAnsi"/>
          <w:color w:val="auto"/>
          <w:sz w:val="24"/>
          <w:szCs w:val="24"/>
        </w:rPr>
        <w:t xml:space="preserve">  </w:t>
      </w:r>
    </w:p>
    <w:p w14:paraId="7A79E7EC" w14:textId="77777777" w:rsidR="00D73593" w:rsidRPr="00A7581C" w:rsidRDefault="00D73593" w:rsidP="00857476">
      <w:pPr>
        <w:rPr>
          <w:color w:val="auto"/>
        </w:rPr>
      </w:pPr>
    </w:p>
    <w:p w14:paraId="33471B51" w14:textId="42A7B239" w:rsidR="004A0B9C" w:rsidRPr="00216B55" w:rsidRDefault="004A0B9C" w:rsidP="00857476">
      <w:pPr>
        <w:rPr>
          <w:rFonts w:ascii="Century Gothic" w:hAnsi="Century Gothic"/>
          <w:b/>
          <w:bCs/>
          <w:color w:val="1F4E79" w:themeColor="accent5" w:themeShade="80"/>
          <w:sz w:val="28"/>
          <w:szCs w:val="28"/>
        </w:rPr>
      </w:pPr>
      <w:r w:rsidRPr="00216B55">
        <w:rPr>
          <w:rFonts w:ascii="Century Gothic" w:hAnsi="Century Gothic"/>
          <w:b/>
          <w:bCs/>
          <w:color w:val="1F4E79" w:themeColor="accent5" w:themeShade="80"/>
          <w:sz w:val="28"/>
          <w:szCs w:val="28"/>
        </w:rPr>
        <w:t>Board Advisory</w:t>
      </w:r>
    </w:p>
    <w:p w14:paraId="366D0C86" w14:textId="10864607" w:rsidR="004A0B9C" w:rsidRDefault="004A0B9C" w:rsidP="00857476">
      <w:pPr>
        <w:rPr>
          <w:rFonts w:asciiTheme="majorHAnsi" w:hAnsiTheme="majorHAnsi"/>
          <w:color w:val="auto"/>
          <w:szCs w:val="24"/>
        </w:rPr>
      </w:pPr>
    </w:p>
    <w:p w14:paraId="2DD520C1" w14:textId="77777777" w:rsidR="00531B7C" w:rsidRDefault="00531B7C" w:rsidP="00531B7C">
      <w:pPr>
        <w:rPr>
          <w:rFonts w:asciiTheme="majorHAnsi" w:hAnsiTheme="majorHAnsi"/>
          <w:color w:val="auto"/>
          <w:szCs w:val="24"/>
        </w:rPr>
      </w:pPr>
      <w:r>
        <w:rPr>
          <w:rFonts w:asciiTheme="majorHAnsi" w:hAnsiTheme="majorHAnsi"/>
          <w:color w:val="auto"/>
          <w:szCs w:val="24"/>
        </w:rPr>
        <w:t>That is matters, which the board must be informed about.</w:t>
      </w:r>
    </w:p>
    <w:p w14:paraId="64566713" w14:textId="77777777" w:rsidR="00531B7C" w:rsidRDefault="00531B7C" w:rsidP="00531B7C">
      <w:pPr>
        <w:rPr>
          <w:rFonts w:asciiTheme="majorHAnsi" w:hAnsiTheme="majorHAnsi"/>
          <w:color w:val="auto"/>
          <w:szCs w:val="24"/>
        </w:rPr>
      </w:pPr>
    </w:p>
    <w:p w14:paraId="61BD315F" w14:textId="77777777" w:rsidR="00531B7C" w:rsidRPr="004A0B9C" w:rsidRDefault="00531B7C" w:rsidP="00531B7C">
      <w:pPr>
        <w:pStyle w:val="ListParagraph"/>
        <w:numPr>
          <w:ilvl w:val="0"/>
          <w:numId w:val="27"/>
        </w:numPr>
        <w:rPr>
          <w:rFonts w:asciiTheme="majorHAnsi" w:hAnsiTheme="majorHAnsi"/>
          <w:color w:val="auto"/>
          <w:sz w:val="24"/>
          <w:szCs w:val="24"/>
        </w:rPr>
      </w:pPr>
      <w:r w:rsidRPr="004A0B9C">
        <w:rPr>
          <w:rFonts w:asciiTheme="majorHAnsi" w:hAnsiTheme="majorHAnsi"/>
          <w:color w:val="auto"/>
          <w:sz w:val="24"/>
          <w:szCs w:val="24"/>
        </w:rPr>
        <w:t>Suspected or actual fraud, or mismanagement.</w:t>
      </w:r>
    </w:p>
    <w:p w14:paraId="321BF1D0" w14:textId="77777777" w:rsidR="00531B7C" w:rsidRPr="004A0B9C" w:rsidRDefault="00531B7C" w:rsidP="00531B7C">
      <w:pPr>
        <w:pStyle w:val="ListParagraph"/>
        <w:numPr>
          <w:ilvl w:val="0"/>
          <w:numId w:val="27"/>
        </w:numPr>
        <w:rPr>
          <w:rFonts w:asciiTheme="majorHAnsi" w:hAnsiTheme="majorHAnsi"/>
          <w:color w:val="auto"/>
          <w:sz w:val="24"/>
          <w:szCs w:val="24"/>
        </w:rPr>
      </w:pPr>
      <w:r w:rsidRPr="004A0B9C">
        <w:rPr>
          <w:rFonts w:asciiTheme="majorHAnsi" w:hAnsiTheme="majorHAnsi"/>
          <w:color w:val="auto"/>
          <w:sz w:val="24"/>
          <w:szCs w:val="24"/>
        </w:rPr>
        <w:t>Serious allegations against the charity, and critical audit or other inspection reports.</w:t>
      </w:r>
    </w:p>
    <w:p w14:paraId="75188C68" w14:textId="77777777" w:rsidR="00531B7C" w:rsidRPr="004A0B9C" w:rsidRDefault="00531B7C" w:rsidP="00531B7C">
      <w:pPr>
        <w:pStyle w:val="ListParagraph"/>
        <w:numPr>
          <w:ilvl w:val="0"/>
          <w:numId w:val="27"/>
        </w:numPr>
        <w:rPr>
          <w:rFonts w:asciiTheme="majorHAnsi" w:hAnsiTheme="majorHAnsi"/>
          <w:color w:val="auto"/>
          <w:sz w:val="24"/>
          <w:szCs w:val="24"/>
        </w:rPr>
      </w:pPr>
      <w:r w:rsidRPr="004A0B9C">
        <w:rPr>
          <w:rFonts w:asciiTheme="majorHAnsi" w:hAnsiTheme="majorHAnsi"/>
          <w:color w:val="auto"/>
          <w:sz w:val="24"/>
          <w:szCs w:val="24"/>
        </w:rPr>
        <w:t xml:space="preserve">Negative media coverage or serious trolling on social media. </w:t>
      </w:r>
    </w:p>
    <w:p w14:paraId="49CF5570" w14:textId="77777777" w:rsidR="00531B7C" w:rsidRPr="004A0B9C" w:rsidRDefault="00531B7C" w:rsidP="00531B7C">
      <w:pPr>
        <w:pStyle w:val="ListParagraph"/>
        <w:numPr>
          <w:ilvl w:val="0"/>
          <w:numId w:val="27"/>
        </w:numPr>
        <w:rPr>
          <w:rFonts w:asciiTheme="majorHAnsi" w:hAnsiTheme="majorHAnsi"/>
          <w:color w:val="auto"/>
          <w:sz w:val="24"/>
          <w:szCs w:val="24"/>
        </w:rPr>
      </w:pPr>
      <w:r w:rsidRPr="004A0B9C">
        <w:rPr>
          <w:rFonts w:asciiTheme="majorHAnsi" w:hAnsiTheme="majorHAnsi"/>
          <w:color w:val="auto"/>
          <w:sz w:val="24"/>
          <w:szCs w:val="24"/>
        </w:rPr>
        <w:t>Reportable breaches, such as in data protection, safeguarding or H&amp;SW.</w:t>
      </w:r>
    </w:p>
    <w:p w14:paraId="320D73A5" w14:textId="77777777" w:rsidR="00531B7C" w:rsidRPr="004A0B9C" w:rsidRDefault="00531B7C" w:rsidP="00531B7C">
      <w:pPr>
        <w:pStyle w:val="ListParagraph"/>
        <w:numPr>
          <w:ilvl w:val="0"/>
          <w:numId w:val="27"/>
        </w:numPr>
        <w:rPr>
          <w:rFonts w:asciiTheme="majorHAnsi" w:hAnsiTheme="majorHAnsi"/>
          <w:color w:val="auto"/>
          <w:sz w:val="24"/>
          <w:szCs w:val="24"/>
        </w:rPr>
      </w:pPr>
      <w:r w:rsidRPr="004A0B9C">
        <w:rPr>
          <w:rFonts w:asciiTheme="majorHAnsi" w:hAnsiTheme="majorHAnsi"/>
          <w:color w:val="auto"/>
          <w:sz w:val="24"/>
          <w:szCs w:val="24"/>
        </w:rPr>
        <w:t>Major incidents, with the potential to have a substantial impact on operations.</w:t>
      </w:r>
    </w:p>
    <w:p w14:paraId="491A3F22" w14:textId="77777777" w:rsidR="00531B7C" w:rsidRDefault="00531B7C" w:rsidP="00531B7C">
      <w:pPr>
        <w:pStyle w:val="ListParagraph"/>
        <w:numPr>
          <w:ilvl w:val="0"/>
          <w:numId w:val="27"/>
        </w:numPr>
        <w:rPr>
          <w:rFonts w:asciiTheme="majorHAnsi" w:hAnsiTheme="majorHAnsi"/>
          <w:color w:val="auto"/>
          <w:sz w:val="24"/>
          <w:szCs w:val="24"/>
        </w:rPr>
      </w:pPr>
      <w:r w:rsidRPr="004A0B9C">
        <w:rPr>
          <w:rFonts w:asciiTheme="majorHAnsi" w:hAnsiTheme="majorHAnsi"/>
          <w:color w:val="auto"/>
          <w:sz w:val="24"/>
          <w:szCs w:val="24"/>
        </w:rPr>
        <w:t>Serious injury or illness of a staff member.</w:t>
      </w:r>
    </w:p>
    <w:p w14:paraId="0EF4CC0D" w14:textId="18FAF85E" w:rsidR="00531B7C" w:rsidRDefault="00531B7C" w:rsidP="00531B7C">
      <w:pPr>
        <w:pStyle w:val="ListParagraph"/>
        <w:numPr>
          <w:ilvl w:val="0"/>
          <w:numId w:val="27"/>
        </w:numPr>
        <w:rPr>
          <w:rFonts w:asciiTheme="majorHAnsi" w:hAnsiTheme="majorHAnsi"/>
          <w:color w:val="auto"/>
          <w:sz w:val="24"/>
          <w:szCs w:val="24"/>
        </w:rPr>
      </w:pPr>
      <w:r>
        <w:rPr>
          <w:rFonts w:asciiTheme="majorHAnsi" w:hAnsiTheme="majorHAnsi"/>
          <w:color w:val="auto"/>
          <w:sz w:val="24"/>
          <w:szCs w:val="24"/>
        </w:rPr>
        <w:lastRenderedPageBreak/>
        <w:t xml:space="preserve">Large, unusual or otherwise potentially </w:t>
      </w:r>
      <w:hyperlink r:id="rId10" w:history="1">
        <w:r w:rsidRPr="00531B7C">
          <w:rPr>
            <w:rStyle w:val="Hyperlink"/>
            <w:rFonts w:asciiTheme="majorHAnsi" w:hAnsiTheme="majorHAnsi"/>
            <w:sz w:val="24"/>
            <w:szCs w:val="24"/>
          </w:rPr>
          <w:t>suspect</w:t>
        </w:r>
      </w:hyperlink>
      <w:r>
        <w:rPr>
          <w:rFonts w:asciiTheme="majorHAnsi" w:hAnsiTheme="majorHAnsi"/>
          <w:color w:val="auto"/>
          <w:sz w:val="24"/>
          <w:szCs w:val="24"/>
        </w:rPr>
        <w:t xml:space="preserve"> or </w:t>
      </w:r>
      <w:hyperlink r:id="rId11" w:history="1">
        <w:r w:rsidRPr="00531B7C">
          <w:rPr>
            <w:rStyle w:val="Hyperlink"/>
            <w:rFonts w:asciiTheme="majorHAnsi" w:hAnsiTheme="majorHAnsi"/>
            <w:sz w:val="24"/>
            <w:szCs w:val="24"/>
          </w:rPr>
          <w:t>tainted</w:t>
        </w:r>
      </w:hyperlink>
      <w:r>
        <w:rPr>
          <w:rFonts w:asciiTheme="majorHAnsi" w:hAnsiTheme="majorHAnsi"/>
          <w:color w:val="auto"/>
          <w:sz w:val="24"/>
          <w:szCs w:val="24"/>
        </w:rPr>
        <w:t xml:space="preserve"> donations.</w:t>
      </w:r>
    </w:p>
    <w:p w14:paraId="6044DA40" w14:textId="77777777" w:rsidR="00531B7C" w:rsidRDefault="00531B7C" w:rsidP="00531B7C">
      <w:pPr>
        <w:pStyle w:val="ListParagraph"/>
        <w:numPr>
          <w:ilvl w:val="0"/>
          <w:numId w:val="27"/>
        </w:numPr>
        <w:rPr>
          <w:rFonts w:asciiTheme="majorHAnsi" w:hAnsiTheme="majorHAnsi"/>
          <w:color w:val="auto"/>
          <w:sz w:val="24"/>
          <w:szCs w:val="24"/>
        </w:rPr>
      </w:pPr>
      <w:r>
        <w:rPr>
          <w:rFonts w:asciiTheme="majorHAnsi" w:hAnsiTheme="majorHAnsi"/>
          <w:color w:val="auto"/>
          <w:sz w:val="24"/>
          <w:szCs w:val="24"/>
        </w:rPr>
        <w:t xml:space="preserve">Any issue that falls within the scope of </w:t>
      </w:r>
      <w:hyperlink r:id="rId12" w:history="1">
        <w:r w:rsidRPr="000805D3">
          <w:rPr>
            <w:rStyle w:val="Hyperlink"/>
            <w:rFonts w:asciiTheme="majorHAnsi" w:hAnsiTheme="majorHAnsi"/>
            <w:sz w:val="24"/>
            <w:szCs w:val="24"/>
          </w:rPr>
          <w:t>Charity Commission serious incident reporting</w:t>
        </w:r>
      </w:hyperlink>
      <w:r>
        <w:rPr>
          <w:rFonts w:asciiTheme="majorHAnsi" w:hAnsiTheme="majorHAnsi"/>
          <w:color w:val="auto"/>
          <w:sz w:val="24"/>
          <w:szCs w:val="24"/>
        </w:rPr>
        <w:t xml:space="preserve"> requirements.</w:t>
      </w:r>
    </w:p>
    <w:p w14:paraId="4C75A6AF" w14:textId="77777777" w:rsidR="00531B7C" w:rsidRDefault="00531B7C" w:rsidP="00531B7C">
      <w:pPr>
        <w:pStyle w:val="ListParagraph"/>
        <w:numPr>
          <w:ilvl w:val="0"/>
          <w:numId w:val="27"/>
        </w:numPr>
        <w:rPr>
          <w:rFonts w:asciiTheme="majorHAnsi" w:hAnsiTheme="majorHAnsi"/>
          <w:color w:val="auto"/>
          <w:sz w:val="24"/>
          <w:szCs w:val="24"/>
        </w:rPr>
      </w:pPr>
      <w:r>
        <w:rPr>
          <w:rFonts w:asciiTheme="majorHAnsi" w:hAnsiTheme="majorHAnsi"/>
          <w:color w:val="auto"/>
          <w:sz w:val="24"/>
          <w:szCs w:val="24"/>
        </w:rPr>
        <w:t xml:space="preserve">Any other issue that the Board may reasonably wish to be made aware of. </w:t>
      </w:r>
      <w:r w:rsidRPr="004A0B9C">
        <w:rPr>
          <w:rFonts w:asciiTheme="majorHAnsi" w:hAnsiTheme="majorHAnsi"/>
          <w:color w:val="auto"/>
          <w:sz w:val="24"/>
          <w:szCs w:val="24"/>
        </w:rPr>
        <w:t xml:space="preserve"> </w:t>
      </w:r>
    </w:p>
    <w:p w14:paraId="5E57A828" w14:textId="776C4B0F" w:rsidR="004A0B9C" w:rsidRPr="00216B55" w:rsidRDefault="004A0B9C" w:rsidP="004A0B9C">
      <w:pPr>
        <w:rPr>
          <w:rFonts w:ascii="Century Gothic" w:hAnsi="Century Gothic"/>
          <w:b/>
          <w:bCs/>
          <w:color w:val="1F4E79" w:themeColor="accent5" w:themeShade="80"/>
          <w:sz w:val="28"/>
          <w:szCs w:val="28"/>
        </w:rPr>
      </w:pPr>
      <w:r w:rsidRPr="00216B55">
        <w:rPr>
          <w:rFonts w:ascii="Century Gothic" w:hAnsi="Century Gothic"/>
          <w:b/>
          <w:bCs/>
          <w:color w:val="1F4E79" w:themeColor="accent5" w:themeShade="80"/>
          <w:sz w:val="28"/>
          <w:szCs w:val="28"/>
        </w:rPr>
        <w:t>Urgency Action</w:t>
      </w:r>
    </w:p>
    <w:p w14:paraId="70F9E07D" w14:textId="77777777" w:rsidR="00216B55" w:rsidRDefault="00216B55" w:rsidP="004A0B9C">
      <w:pPr>
        <w:rPr>
          <w:rFonts w:asciiTheme="majorHAnsi" w:hAnsiTheme="majorHAnsi"/>
          <w:color w:val="auto"/>
          <w:szCs w:val="24"/>
        </w:rPr>
      </w:pPr>
    </w:p>
    <w:p w14:paraId="17A62B44" w14:textId="31C429E2" w:rsidR="004A0B9C" w:rsidRPr="004A0B9C" w:rsidRDefault="004A0B9C" w:rsidP="004A0B9C">
      <w:pPr>
        <w:rPr>
          <w:rFonts w:asciiTheme="majorHAnsi" w:hAnsiTheme="majorHAnsi"/>
          <w:color w:val="auto"/>
          <w:szCs w:val="24"/>
        </w:rPr>
      </w:pPr>
      <w:r>
        <w:rPr>
          <w:rFonts w:asciiTheme="majorHAnsi" w:hAnsiTheme="majorHAnsi"/>
          <w:color w:val="auto"/>
          <w:szCs w:val="24"/>
        </w:rPr>
        <w:t>Where necessary, decision</w:t>
      </w:r>
      <w:r w:rsidR="004E6ECB">
        <w:rPr>
          <w:rFonts w:asciiTheme="majorHAnsi" w:hAnsiTheme="majorHAnsi"/>
          <w:color w:val="auto"/>
          <w:szCs w:val="24"/>
        </w:rPr>
        <w:t>s</w:t>
      </w:r>
      <w:r>
        <w:rPr>
          <w:rFonts w:asciiTheme="majorHAnsi" w:hAnsiTheme="majorHAnsi"/>
          <w:color w:val="auto"/>
          <w:szCs w:val="24"/>
        </w:rPr>
        <w:t xml:space="preserve"> may be made ex </w:t>
      </w:r>
      <w:r w:rsidR="00216B55">
        <w:rPr>
          <w:rFonts w:asciiTheme="majorHAnsi" w:hAnsiTheme="majorHAnsi"/>
          <w:color w:val="auto"/>
          <w:szCs w:val="24"/>
        </w:rPr>
        <w:t xml:space="preserve">committee.  Reporting should be as soon as reasonably practicable, </w:t>
      </w:r>
      <w:proofErr w:type="gramStart"/>
      <w:r w:rsidR="00216B55">
        <w:rPr>
          <w:rFonts w:asciiTheme="majorHAnsi" w:hAnsiTheme="majorHAnsi"/>
          <w:color w:val="auto"/>
          <w:szCs w:val="24"/>
        </w:rPr>
        <w:t>taking into account</w:t>
      </w:r>
      <w:proofErr w:type="gramEnd"/>
      <w:r w:rsidR="00216B55">
        <w:rPr>
          <w:rFonts w:asciiTheme="majorHAnsi" w:hAnsiTheme="majorHAnsi"/>
          <w:color w:val="auto"/>
          <w:szCs w:val="24"/>
        </w:rPr>
        <w:t xml:space="preserve"> the urgency and seriousness of the issue. </w:t>
      </w:r>
    </w:p>
    <w:p w14:paraId="74C0CC07" w14:textId="3D2618C4" w:rsidR="004A0B9C" w:rsidRDefault="004A0B9C" w:rsidP="00857476">
      <w:pPr>
        <w:rPr>
          <w:rFonts w:asciiTheme="majorHAnsi" w:hAnsiTheme="majorHAnsi"/>
          <w:color w:val="auto"/>
          <w:szCs w:val="24"/>
        </w:rPr>
      </w:pPr>
    </w:p>
    <w:p w14:paraId="7990ECB1" w14:textId="5EB0A2A8" w:rsidR="00216B55" w:rsidRPr="00216B55" w:rsidRDefault="00216B55" w:rsidP="00857476">
      <w:pPr>
        <w:rPr>
          <w:rFonts w:ascii="Century Gothic" w:hAnsi="Century Gothic"/>
          <w:b/>
          <w:bCs/>
          <w:color w:val="1F4E79" w:themeColor="accent5" w:themeShade="80"/>
          <w:sz w:val="28"/>
          <w:szCs w:val="28"/>
        </w:rPr>
      </w:pPr>
      <w:r w:rsidRPr="00216B55">
        <w:rPr>
          <w:rFonts w:ascii="Century Gothic" w:hAnsi="Century Gothic"/>
          <w:b/>
          <w:bCs/>
          <w:color w:val="1F4E79" w:themeColor="accent5" w:themeShade="80"/>
          <w:sz w:val="28"/>
          <w:szCs w:val="28"/>
        </w:rPr>
        <w:t>Board Compliance</w:t>
      </w:r>
    </w:p>
    <w:p w14:paraId="3BD6EFD3" w14:textId="77777777" w:rsidR="004A0B9C" w:rsidRDefault="004A0B9C" w:rsidP="00857476">
      <w:pPr>
        <w:rPr>
          <w:rFonts w:asciiTheme="majorHAnsi" w:hAnsiTheme="majorHAnsi"/>
          <w:color w:val="auto"/>
          <w:szCs w:val="24"/>
        </w:rPr>
      </w:pPr>
    </w:p>
    <w:p w14:paraId="532A804D" w14:textId="149856D0" w:rsidR="006B6512" w:rsidRPr="004E5376" w:rsidRDefault="004C2AFF" w:rsidP="00857476">
      <w:pPr>
        <w:rPr>
          <w:rFonts w:asciiTheme="majorHAnsi" w:hAnsiTheme="majorHAnsi"/>
          <w:color w:val="auto"/>
          <w:szCs w:val="24"/>
        </w:rPr>
      </w:pPr>
      <w:r w:rsidRPr="004E5376">
        <w:rPr>
          <w:rFonts w:asciiTheme="majorHAnsi" w:hAnsiTheme="majorHAnsi"/>
          <w:color w:val="auto"/>
          <w:szCs w:val="24"/>
        </w:rPr>
        <w:t>In dealing with such matters, the Board will (as always) ensure that it has:</w:t>
      </w:r>
    </w:p>
    <w:p w14:paraId="0D81EDA5" w14:textId="4C868A2A" w:rsidR="004C2AFF" w:rsidRPr="004E5376" w:rsidRDefault="004C2AFF" w:rsidP="00857476">
      <w:pPr>
        <w:rPr>
          <w:rFonts w:asciiTheme="majorHAnsi" w:hAnsiTheme="majorHAnsi"/>
          <w:color w:val="auto"/>
          <w:szCs w:val="24"/>
        </w:rPr>
      </w:pPr>
    </w:p>
    <w:p w14:paraId="539EE98B" w14:textId="18597D00" w:rsidR="004C2AFF" w:rsidRPr="004E5376" w:rsidRDefault="004C2AFF" w:rsidP="004C2AFF">
      <w:pPr>
        <w:pStyle w:val="ListParagraph"/>
        <w:numPr>
          <w:ilvl w:val="0"/>
          <w:numId w:val="26"/>
        </w:numPr>
        <w:rPr>
          <w:rFonts w:asciiTheme="majorHAnsi" w:hAnsiTheme="majorHAnsi" w:cstheme="majorHAnsi"/>
          <w:color w:val="auto"/>
          <w:sz w:val="24"/>
          <w:szCs w:val="24"/>
        </w:rPr>
      </w:pPr>
      <w:r w:rsidRPr="004E5376">
        <w:rPr>
          <w:rFonts w:asciiTheme="majorHAnsi" w:hAnsiTheme="majorHAnsi" w:cstheme="majorHAnsi"/>
          <w:color w:val="auto"/>
          <w:sz w:val="24"/>
          <w:szCs w:val="24"/>
        </w:rPr>
        <w:t>The power to do so.  Board powers are usually in its governing document.</w:t>
      </w:r>
    </w:p>
    <w:p w14:paraId="606F4213" w14:textId="1D06B963" w:rsidR="004C2AFF" w:rsidRPr="004E5376" w:rsidRDefault="004C2AFF" w:rsidP="004C2AFF">
      <w:pPr>
        <w:pStyle w:val="ListParagraph"/>
        <w:numPr>
          <w:ilvl w:val="0"/>
          <w:numId w:val="26"/>
        </w:numPr>
        <w:rPr>
          <w:rFonts w:asciiTheme="majorHAnsi" w:hAnsiTheme="majorHAnsi" w:cstheme="majorHAnsi"/>
          <w:color w:val="auto"/>
          <w:sz w:val="24"/>
          <w:szCs w:val="24"/>
        </w:rPr>
      </w:pPr>
      <w:r w:rsidRPr="004E5376">
        <w:rPr>
          <w:rFonts w:asciiTheme="majorHAnsi" w:hAnsiTheme="majorHAnsi" w:cstheme="majorHAnsi"/>
          <w:color w:val="auto"/>
          <w:sz w:val="24"/>
          <w:szCs w:val="24"/>
        </w:rPr>
        <w:t>Complied with its legal and regulatory obligations</w:t>
      </w:r>
      <w:r w:rsidR="00A7581C" w:rsidRPr="004E5376">
        <w:rPr>
          <w:rFonts w:asciiTheme="majorHAnsi" w:hAnsiTheme="majorHAnsi" w:cstheme="majorHAnsi"/>
          <w:color w:val="auto"/>
          <w:sz w:val="24"/>
          <w:szCs w:val="24"/>
        </w:rPr>
        <w:t>,</w:t>
      </w:r>
      <w:r w:rsidRPr="004E5376">
        <w:rPr>
          <w:rFonts w:asciiTheme="majorHAnsi" w:hAnsiTheme="majorHAnsi" w:cstheme="majorHAnsi"/>
          <w:color w:val="auto"/>
          <w:sz w:val="24"/>
          <w:szCs w:val="24"/>
        </w:rPr>
        <w:t xml:space="preserve"> and its own policies.</w:t>
      </w:r>
    </w:p>
    <w:p w14:paraId="64ECF5C8" w14:textId="3AFA6C0B" w:rsidR="00BC46DC" w:rsidRDefault="004C2AFF" w:rsidP="00BC46DC">
      <w:pPr>
        <w:pStyle w:val="ListParagraph"/>
        <w:numPr>
          <w:ilvl w:val="0"/>
          <w:numId w:val="26"/>
        </w:numPr>
        <w:rPr>
          <w:rFonts w:asciiTheme="majorHAnsi" w:hAnsiTheme="majorHAnsi" w:cstheme="majorHAnsi"/>
          <w:color w:val="auto"/>
          <w:sz w:val="24"/>
          <w:szCs w:val="24"/>
        </w:rPr>
      </w:pPr>
      <w:r w:rsidRPr="004E5376">
        <w:rPr>
          <w:rFonts w:asciiTheme="majorHAnsi" w:hAnsiTheme="majorHAnsi" w:cstheme="majorHAnsi"/>
          <w:color w:val="auto"/>
          <w:sz w:val="24"/>
          <w:szCs w:val="24"/>
        </w:rPr>
        <w:t xml:space="preserve">Ensured that all relevant, available facts and information </w:t>
      </w:r>
      <w:r w:rsidR="00A7581C" w:rsidRPr="004E5376">
        <w:rPr>
          <w:rFonts w:asciiTheme="majorHAnsi" w:hAnsiTheme="majorHAnsi" w:cstheme="majorHAnsi"/>
          <w:color w:val="auto"/>
          <w:sz w:val="24"/>
          <w:szCs w:val="24"/>
        </w:rPr>
        <w:t>are</w:t>
      </w:r>
      <w:r w:rsidRPr="004E5376">
        <w:rPr>
          <w:rFonts w:asciiTheme="majorHAnsi" w:hAnsiTheme="majorHAnsi" w:cstheme="majorHAnsi"/>
          <w:color w:val="auto"/>
          <w:sz w:val="24"/>
          <w:szCs w:val="24"/>
        </w:rPr>
        <w:t xml:space="preserve"> considered.</w:t>
      </w:r>
    </w:p>
    <w:p w14:paraId="266110AB" w14:textId="77777777" w:rsidR="00BC46DC" w:rsidRPr="00BC46DC" w:rsidRDefault="00BC46DC" w:rsidP="00BC46DC">
      <w:pPr>
        <w:spacing w:before="100" w:beforeAutospacing="1" w:after="100" w:afterAutospacing="1"/>
        <w:textAlignment w:val="baseline"/>
        <w:rPr>
          <w:rFonts w:ascii="Century Gothic" w:hAnsi="Century Gothic"/>
          <w:b/>
          <w:bCs/>
          <w:color w:val="1F4E79" w:themeColor="accent5" w:themeShade="80"/>
          <w:sz w:val="28"/>
          <w:szCs w:val="28"/>
        </w:rPr>
      </w:pPr>
      <w:r w:rsidRPr="00BC46DC">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6"/>
        <w:gridCol w:w="1356"/>
        <w:gridCol w:w="1233"/>
        <w:gridCol w:w="4012"/>
        <w:gridCol w:w="1429"/>
      </w:tblGrid>
      <w:tr w:rsidR="00BC46DC" w14:paraId="3B884CDC" w14:textId="77777777" w:rsidTr="00BC46DC">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C92D42" w14:textId="77777777" w:rsidR="00BC46DC" w:rsidRDefault="00BC46D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4DA4592" w14:textId="77777777" w:rsidR="00BC46DC" w:rsidRDefault="00BC46D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4ABD0FA" w14:textId="77777777" w:rsidR="00BC46DC" w:rsidRDefault="00BC46D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E7CBF9D" w14:textId="77777777" w:rsidR="00BC46DC" w:rsidRDefault="00BC46D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2CFDE19" w14:textId="77777777" w:rsidR="00BC46DC" w:rsidRDefault="00BC46D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BC46DC" w14:paraId="603CDA39" w14:textId="77777777" w:rsidTr="00BC46DC">
        <w:tc>
          <w:tcPr>
            <w:tcW w:w="987" w:type="dxa"/>
            <w:tcBorders>
              <w:top w:val="single" w:sz="4" w:space="0" w:color="auto"/>
              <w:left w:val="single" w:sz="4" w:space="0" w:color="auto"/>
              <w:bottom w:val="single" w:sz="4" w:space="0" w:color="auto"/>
              <w:right w:val="single" w:sz="4" w:space="0" w:color="auto"/>
            </w:tcBorders>
            <w:vAlign w:val="center"/>
            <w:hideMark/>
          </w:tcPr>
          <w:p w14:paraId="76F95D59" w14:textId="77777777" w:rsidR="00BC46DC" w:rsidRDefault="00BC46DC">
            <w:pPr>
              <w:spacing w:line="276" w:lineRule="auto"/>
              <w:jc w:val="center"/>
              <w:rPr>
                <w:rFonts w:asciiTheme="majorHAnsi" w:hAnsiTheme="majorHAnsi"/>
                <w:color w:val="auto"/>
              </w:rPr>
            </w:pPr>
            <w:r>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7F1FD5" w14:textId="77777777" w:rsidR="00BC46DC" w:rsidRDefault="00BC46DC">
            <w:pPr>
              <w:spacing w:line="276" w:lineRule="auto"/>
              <w:jc w:val="center"/>
              <w:rPr>
                <w:rFonts w:asciiTheme="majorHAnsi" w:hAnsiTheme="majorHAnsi"/>
                <w:color w:val="auto"/>
              </w:rPr>
            </w:pPr>
            <w:r>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51C00" w14:textId="257C8D07" w:rsidR="00BC46DC" w:rsidRDefault="00004885">
            <w:pPr>
              <w:spacing w:line="276" w:lineRule="auto"/>
              <w:jc w:val="center"/>
              <w:rPr>
                <w:rFonts w:asciiTheme="majorHAnsi" w:hAnsiTheme="majorHAnsi"/>
                <w:color w:val="auto"/>
              </w:rPr>
            </w:pPr>
            <w:r>
              <w:rPr>
                <w:rFonts w:asciiTheme="majorHAnsi" w:hAnsiTheme="majorHAnsi"/>
                <w:color w:val="auto"/>
              </w:rPr>
              <w:t>Oct 23</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03FFBDF" w14:textId="77777777" w:rsidR="00BC46DC" w:rsidRDefault="00BC46DC">
            <w:pPr>
              <w:spacing w:line="276" w:lineRule="auto"/>
              <w:jc w:val="center"/>
              <w:rPr>
                <w:rFonts w:asciiTheme="majorHAnsi" w:hAnsiTheme="majorHAnsi"/>
                <w:color w:val="auto"/>
              </w:rPr>
            </w:pPr>
            <w:r>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AE8BFA" w14:textId="77777777" w:rsidR="00BC46DC" w:rsidRDefault="00BC46DC">
            <w:pPr>
              <w:spacing w:line="276" w:lineRule="auto"/>
              <w:jc w:val="center"/>
              <w:rPr>
                <w:rFonts w:asciiTheme="majorHAnsi" w:hAnsiTheme="majorHAnsi"/>
                <w:color w:val="auto"/>
              </w:rPr>
            </w:pPr>
            <w:r>
              <w:rPr>
                <w:rFonts w:asciiTheme="majorHAnsi" w:hAnsiTheme="majorHAnsi"/>
                <w:color w:val="auto"/>
              </w:rPr>
              <w:t>Annually</w:t>
            </w:r>
          </w:p>
        </w:tc>
      </w:tr>
      <w:tr w:rsidR="00BC46DC" w14:paraId="53B7759A" w14:textId="77777777" w:rsidTr="00BC46DC">
        <w:tc>
          <w:tcPr>
            <w:tcW w:w="987" w:type="dxa"/>
            <w:tcBorders>
              <w:top w:val="single" w:sz="4" w:space="0" w:color="auto"/>
              <w:left w:val="single" w:sz="4" w:space="0" w:color="auto"/>
              <w:bottom w:val="single" w:sz="4" w:space="0" w:color="auto"/>
              <w:right w:val="single" w:sz="4" w:space="0" w:color="auto"/>
            </w:tcBorders>
            <w:vAlign w:val="center"/>
          </w:tcPr>
          <w:p w14:paraId="198CA5D6" w14:textId="77777777" w:rsidR="00BC46DC" w:rsidRDefault="00BC46DC">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43C2B026" w14:textId="77777777" w:rsidR="00BC46DC" w:rsidRDefault="00BC46DC">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EEC7E7E" w14:textId="77777777" w:rsidR="00BC46DC" w:rsidRDefault="00BC46DC">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1BD75B2" w14:textId="77777777" w:rsidR="00BC46DC" w:rsidRDefault="00BC46DC">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C592A46" w14:textId="77777777" w:rsidR="00BC46DC" w:rsidRDefault="00BC46DC">
            <w:pPr>
              <w:spacing w:line="276" w:lineRule="auto"/>
              <w:jc w:val="center"/>
              <w:rPr>
                <w:rFonts w:ascii="Corbel Light" w:hAnsi="Corbel Light"/>
                <w:color w:val="auto"/>
              </w:rPr>
            </w:pPr>
          </w:p>
        </w:tc>
      </w:tr>
      <w:tr w:rsidR="00BC46DC" w14:paraId="478CC676" w14:textId="77777777" w:rsidTr="00BC46DC">
        <w:tc>
          <w:tcPr>
            <w:tcW w:w="987" w:type="dxa"/>
            <w:tcBorders>
              <w:top w:val="single" w:sz="4" w:space="0" w:color="auto"/>
              <w:left w:val="single" w:sz="4" w:space="0" w:color="auto"/>
              <w:bottom w:val="single" w:sz="4" w:space="0" w:color="auto"/>
              <w:right w:val="single" w:sz="4" w:space="0" w:color="auto"/>
            </w:tcBorders>
            <w:vAlign w:val="center"/>
          </w:tcPr>
          <w:p w14:paraId="40277B4C" w14:textId="77777777" w:rsidR="00BC46DC" w:rsidRDefault="00BC46DC">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45B1F118" w14:textId="77777777" w:rsidR="00BC46DC" w:rsidRDefault="00BC46DC">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67B016E" w14:textId="77777777" w:rsidR="00BC46DC" w:rsidRDefault="00BC46DC">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7F2BF63" w14:textId="77777777" w:rsidR="00BC46DC" w:rsidRDefault="00BC46DC">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46A51E6B" w14:textId="77777777" w:rsidR="00BC46DC" w:rsidRDefault="00BC46DC">
            <w:pPr>
              <w:spacing w:line="276" w:lineRule="auto"/>
              <w:jc w:val="center"/>
              <w:rPr>
                <w:rFonts w:ascii="Corbel Light" w:hAnsi="Corbel Light"/>
                <w:color w:val="auto"/>
              </w:rPr>
            </w:pPr>
          </w:p>
        </w:tc>
      </w:tr>
    </w:tbl>
    <w:p w14:paraId="340FA56F" w14:textId="77777777" w:rsidR="00BC46DC" w:rsidRDefault="00BC46DC" w:rsidP="00BC46DC">
      <w:pPr>
        <w:rPr>
          <w:rFonts w:asciiTheme="majorHAnsi" w:hAnsiTheme="majorHAnsi"/>
          <w:color w:val="auto"/>
          <w:szCs w:val="24"/>
        </w:rPr>
      </w:pPr>
    </w:p>
    <w:p w14:paraId="3792B855" w14:textId="77777777" w:rsidR="00DF3131" w:rsidRPr="006E4101" w:rsidRDefault="00DF3131" w:rsidP="00DF313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12B66BB9" w14:textId="77777777" w:rsidR="00DF3131"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B4F5FAF" w14:textId="77777777" w:rsidR="00DF3131"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F16C7B8" w14:textId="77777777" w:rsidR="00DF3131"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7F89D29" w14:textId="77777777" w:rsidR="00DF3131"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37B1F407" w14:textId="77777777" w:rsidR="00DF3131"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0EB8AFB" w14:textId="77777777" w:rsidR="00DF3131"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273FA23E" w14:textId="77777777" w:rsidR="00DF3131"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F3FDCF2" w14:textId="77777777" w:rsidR="00DF3131" w:rsidRPr="00FB3332" w:rsidRDefault="00DF3131" w:rsidP="00DF313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Ian </w:t>
      </w:r>
    </w:p>
    <w:p w14:paraId="600C0122" w14:textId="77777777" w:rsidR="00DF3131" w:rsidRDefault="00DF3131" w:rsidP="00DF3131">
      <w:pPr>
        <w:rPr>
          <w:rFonts w:ascii="Century Gothic" w:eastAsia="Calibri" w:hAnsi="Century Gothic" w:cs="Calibri"/>
          <w:b/>
          <w:bCs/>
          <w:noProof/>
          <w:szCs w:val="24"/>
          <w:lang w:eastAsia="en-GB"/>
        </w:rPr>
      </w:pPr>
    </w:p>
    <w:p w14:paraId="479471A8" w14:textId="77777777" w:rsidR="00DF3131" w:rsidRPr="008343EA" w:rsidRDefault="00DF3131" w:rsidP="00DF3131">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24D920FC" w14:textId="77777777" w:rsidR="00DF3131" w:rsidRPr="008343EA" w:rsidRDefault="00DF3131" w:rsidP="00DF3131">
      <w:pPr>
        <w:shd w:val="clear" w:color="auto" w:fill="FFFFFF"/>
        <w:rPr>
          <w:rFonts w:ascii="Century Gothic" w:eastAsia="Calibri" w:hAnsi="Century Gothic" w:cs="Calibri"/>
          <w:noProof/>
          <w:color w:val="323E4F"/>
          <w:szCs w:val="24"/>
        </w:rPr>
      </w:pPr>
    </w:p>
    <w:p w14:paraId="38D32D0D" w14:textId="77777777" w:rsidR="00DF3131" w:rsidRDefault="00DF3131" w:rsidP="00DF3131">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3" w:history="1"/>
    </w:p>
    <w:p w14:paraId="18742CD5" w14:textId="77777777" w:rsidR="00DF3131" w:rsidRPr="00322C33" w:rsidRDefault="00DF3131" w:rsidP="00DF3131">
      <w:pPr>
        <w:rPr>
          <w:rStyle w:val="Hyperlink"/>
          <w:rFonts w:ascii="Century Gothic" w:eastAsia="Calibri" w:hAnsi="Century Gothic" w:cs="Calibri"/>
          <w:noProof/>
          <w:color w:val="1F4E79" w:themeColor="accent5" w:themeShade="80"/>
          <w:lang w:eastAsia="en-GB"/>
        </w:rPr>
      </w:pPr>
      <w:hyperlink r:id="rId14" w:history="1">
        <w:r w:rsidRPr="00322C33">
          <w:rPr>
            <w:rStyle w:val="Hyperlink"/>
            <w:rFonts w:ascii="Century Gothic" w:eastAsia="Calibri" w:hAnsi="Century Gothic" w:cs="Calibri"/>
            <w:noProof/>
            <w:lang w:eastAsia="en-GB"/>
          </w:rPr>
          <w:t>ian@charityexcellence.co.uk</w:t>
        </w:r>
      </w:hyperlink>
    </w:p>
    <w:p w14:paraId="3E3CA500" w14:textId="4A09C5C9" w:rsidR="00DF3131" w:rsidRPr="00DF3131" w:rsidRDefault="00DF3131" w:rsidP="00BC46DC">
      <w:pPr>
        <w:rPr>
          <w:rFonts w:ascii="Century Gothic" w:eastAsia="Calibri" w:hAnsi="Century Gothic" w:cs="Calibri"/>
          <w:noProof/>
          <w:color w:val="0563C1" w:themeColor="hyperlink"/>
          <w:u w:val="single"/>
          <w:lang w:eastAsia="en-GB"/>
        </w:rPr>
      </w:pPr>
      <w:hyperlink r:id="rId15" w:history="1">
        <w:r w:rsidRPr="00322C33">
          <w:rPr>
            <w:rStyle w:val="Hyperlink"/>
            <w:rFonts w:ascii="Century Gothic" w:eastAsia="Calibri" w:hAnsi="Century Gothic" w:cs="Calibri"/>
            <w:noProof/>
            <w:lang w:eastAsia="en-GB"/>
          </w:rPr>
          <w:t>www.charityexcellence.co.uk</w:t>
        </w:r>
      </w:hyperlink>
    </w:p>
    <w:sectPr w:rsidR="00DF3131" w:rsidRPr="00DF3131" w:rsidSect="006B6512">
      <w:headerReference w:type="default" r:id="rId16"/>
      <w:footerReference w:type="default" r:id="rId17"/>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4211" w14:textId="77777777" w:rsidR="000C6EE8" w:rsidRDefault="000C6EE8" w:rsidP="007916A8">
      <w:r>
        <w:separator/>
      </w:r>
    </w:p>
  </w:endnote>
  <w:endnote w:type="continuationSeparator" w:id="0">
    <w:p w14:paraId="406007F3" w14:textId="77777777" w:rsidR="000C6EE8" w:rsidRDefault="000C6EE8"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3492"/>
      <w:docPartObj>
        <w:docPartGallery w:val="Page Numbers (Bottom of Page)"/>
        <w:docPartUnique/>
      </w:docPartObj>
    </w:sdtPr>
    <w:sdtEndPr>
      <w:rPr>
        <w:noProof/>
      </w:rPr>
    </w:sdtEndPr>
    <w:sdtContent>
      <w:p w14:paraId="1098153D" w14:textId="4C5119B0"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644A" w14:textId="77777777" w:rsidR="000C6EE8" w:rsidRDefault="000C6EE8" w:rsidP="007916A8">
      <w:r>
        <w:separator/>
      </w:r>
    </w:p>
  </w:footnote>
  <w:footnote w:type="continuationSeparator" w:id="0">
    <w:p w14:paraId="125BCEEB" w14:textId="77777777" w:rsidR="000C6EE8" w:rsidRDefault="000C6EE8"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26A4879E" w:rsidR="007D2894" w:rsidRDefault="00DF3131" w:rsidP="001F5D60">
    <w:pPr>
      <w:pStyle w:val="Header"/>
      <w:jc w:val="right"/>
    </w:pPr>
    <w:r>
      <w:rPr>
        <w:noProof/>
      </w:rPr>
      <w:drawing>
        <wp:inline distT="0" distB="0" distL="0" distR="0" wp14:anchorId="10F37A43" wp14:editId="67A62937">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3244B"/>
    <w:multiLevelType w:val="hybridMultilevel"/>
    <w:tmpl w:val="1EAE4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660E9"/>
    <w:multiLevelType w:val="hybridMultilevel"/>
    <w:tmpl w:val="210E5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335B3"/>
    <w:multiLevelType w:val="hybridMultilevel"/>
    <w:tmpl w:val="A6824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2282186">
    <w:abstractNumId w:val="13"/>
  </w:num>
  <w:num w:numId="2" w16cid:durableId="1497960309">
    <w:abstractNumId w:val="21"/>
  </w:num>
  <w:num w:numId="3" w16cid:durableId="1974826212">
    <w:abstractNumId w:val="26"/>
  </w:num>
  <w:num w:numId="4" w16cid:durableId="1144935461">
    <w:abstractNumId w:val="11"/>
  </w:num>
  <w:num w:numId="5" w16cid:durableId="597952199">
    <w:abstractNumId w:val="20"/>
  </w:num>
  <w:num w:numId="6" w16cid:durableId="2027436398">
    <w:abstractNumId w:val="19"/>
  </w:num>
  <w:num w:numId="7" w16cid:durableId="562133330">
    <w:abstractNumId w:val="24"/>
  </w:num>
  <w:num w:numId="8" w16cid:durableId="965309791">
    <w:abstractNumId w:val="3"/>
  </w:num>
  <w:num w:numId="9" w16cid:durableId="1032807312">
    <w:abstractNumId w:val="2"/>
  </w:num>
  <w:num w:numId="10" w16cid:durableId="1471904416">
    <w:abstractNumId w:val="18"/>
  </w:num>
  <w:num w:numId="11" w16cid:durableId="2072997345">
    <w:abstractNumId w:val="5"/>
  </w:num>
  <w:num w:numId="12" w16cid:durableId="968978514">
    <w:abstractNumId w:val="17"/>
  </w:num>
  <w:num w:numId="13" w16cid:durableId="582177473">
    <w:abstractNumId w:val="15"/>
  </w:num>
  <w:num w:numId="14" w16cid:durableId="1305312572">
    <w:abstractNumId w:val="9"/>
  </w:num>
  <w:num w:numId="15" w16cid:durableId="222495389">
    <w:abstractNumId w:val="0"/>
  </w:num>
  <w:num w:numId="16" w16cid:durableId="1902324248">
    <w:abstractNumId w:val="6"/>
  </w:num>
  <w:num w:numId="17" w16cid:durableId="1700205659">
    <w:abstractNumId w:val="4"/>
  </w:num>
  <w:num w:numId="18" w16cid:durableId="80873676">
    <w:abstractNumId w:val="22"/>
  </w:num>
  <w:num w:numId="19" w16cid:durableId="1173841850">
    <w:abstractNumId w:val="14"/>
  </w:num>
  <w:num w:numId="20" w16cid:durableId="1978492473">
    <w:abstractNumId w:val="23"/>
  </w:num>
  <w:num w:numId="21" w16cid:durableId="73363419">
    <w:abstractNumId w:val="10"/>
  </w:num>
  <w:num w:numId="22" w16cid:durableId="1038972566">
    <w:abstractNumId w:val="8"/>
  </w:num>
  <w:num w:numId="23" w16cid:durableId="130220248">
    <w:abstractNumId w:val="16"/>
  </w:num>
  <w:num w:numId="24" w16cid:durableId="398525841">
    <w:abstractNumId w:val="25"/>
  </w:num>
  <w:num w:numId="25" w16cid:durableId="1272081466">
    <w:abstractNumId w:val="12"/>
  </w:num>
  <w:num w:numId="26" w16cid:durableId="630525465">
    <w:abstractNumId w:val="7"/>
  </w:num>
  <w:num w:numId="27" w16cid:durableId="61224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4885"/>
    <w:rsid w:val="00046064"/>
    <w:rsid w:val="00047C9F"/>
    <w:rsid w:val="000C6EE8"/>
    <w:rsid w:val="000D328B"/>
    <w:rsid w:val="000D5A72"/>
    <w:rsid w:val="00116AAB"/>
    <w:rsid w:val="0011702B"/>
    <w:rsid w:val="00133922"/>
    <w:rsid w:val="00145241"/>
    <w:rsid w:val="00161C50"/>
    <w:rsid w:val="001661AF"/>
    <w:rsid w:val="001758D5"/>
    <w:rsid w:val="001C5F8D"/>
    <w:rsid w:val="001D0F9A"/>
    <w:rsid w:val="001D3B0B"/>
    <w:rsid w:val="001E1CBF"/>
    <w:rsid w:val="001F1DF5"/>
    <w:rsid w:val="001F2F27"/>
    <w:rsid w:val="001F4A81"/>
    <w:rsid w:val="001F5D60"/>
    <w:rsid w:val="00216B55"/>
    <w:rsid w:val="00235C83"/>
    <w:rsid w:val="00241A77"/>
    <w:rsid w:val="00252E83"/>
    <w:rsid w:val="002802E6"/>
    <w:rsid w:val="002A49E4"/>
    <w:rsid w:val="002A6352"/>
    <w:rsid w:val="002B1013"/>
    <w:rsid w:val="002C23E6"/>
    <w:rsid w:val="002D0727"/>
    <w:rsid w:val="002D463A"/>
    <w:rsid w:val="002D4EA4"/>
    <w:rsid w:val="002F14AB"/>
    <w:rsid w:val="00306C34"/>
    <w:rsid w:val="00313447"/>
    <w:rsid w:val="00332CB2"/>
    <w:rsid w:val="00332DDF"/>
    <w:rsid w:val="00350BFE"/>
    <w:rsid w:val="0035184C"/>
    <w:rsid w:val="00365E7B"/>
    <w:rsid w:val="003A337D"/>
    <w:rsid w:val="003B4DCF"/>
    <w:rsid w:val="003E70F4"/>
    <w:rsid w:val="0040582A"/>
    <w:rsid w:val="00416809"/>
    <w:rsid w:val="004224D4"/>
    <w:rsid w:val="0043067A"/>
    <w:rsid w:val="00433288"/>
    <w:rsid w:val="00451446"/>
    <w:rsid w:val="004A0B9C"/>
    <w:rsid w:val="004B371E"/>
    <w:rsid w:val="004C2AFF"/>
    <w:rsid w:val="004E4BDB"/>
    <w:rsid w:val="004E5376"/>
    <w:rsid w:val="004E6ECB"/>
    <w:rsid w:val="004F21F7"/>
    <w:rsid w:val="0052237D"/>
    <w:rsid w:val="00531B7C"/>
    <w:rsid w:val="00550291"/>
    <w:rsid w:val="005570B2"/>
    <w:rsid w:val="00566D1C"/>
    <w:rsid w:val="005A1654"/>
    <w:rsid w:val="005B15E5"/>
    <w:rsid w:val="005D4229"/>
    <w:rsid w:val="005D4764"/>
    <w:rsid w:val="00613D2C"/>
    <w:rsid w:val="00621040"/>
    <w:rsid w:val="00632C46"/>
    <w:rsid w:val="00652D43"/>
    <w:rsid w:val="00667159"/>
    <w:rsid w:val="006934ED"/>
    <w:rsid w:val="006A0CB2"/>
    <w:rsid w:val="006A2129"/>
    <w:rsid w:val="006B6512"/>
    <w:rsid w:val="006E2BB6"/>
    <w:rsid w:val="006F1AB2"/>
    <w:rsid w:val="00717227"/>
    <w:rsid w:val="00751874"/>
    <w:rsid w:val="00766FAF"/>
    <w:rsid w:val="00771F1B"/>
    <w:rsid w:val="007916A8"/>
    <w:rsid w:val="00794730"/>
    <w:rsid w:val="007A4633"/>
    <w:rsid w:val="007B2C49"/>
    <w:rsid w:val="007D2894"/>
    <w:rsid w:val="007E0E98"/>
    <w:rsid w:val="007E69B6"/>
    <w:rsid w:val="0081554D"/>
    <w:rsid w:val="008166C6"/>
    <w:rsid w:val="00837A30"/>
    <w:rsid w:val="00857476"/>
    <w:rsid w:val="008A360B"/>
    <w:rsid w:val="009115C0"/>
    <w:rsid w:val="00916049"/>
    <w:rsid w:val="0093731B"/>
    <w:rsid w:val="009779A6"/>
    <w:rsid w:val="00996D71"/>
    <w:rsid w:val="009A1F83"/>
    <w:rsid w:val="009F43C1"/>
    <w:rsid w:val="00A03FBE"/>
    <w:rsid w:val="00A13F49"/>
    <w:rsid w:val="00A225DE"/>
    <w:rsid w:val="00A25523"/>
    <w:rsid w:val="00A504C9"/>
    <w:rsid w:val="00A7075B"/>
    <w:rsid w:val="00A7581C"/>
    <w:rsid w:val="00AB3C7E"/>
    <w:rsid w:val="00AC4F8D"/>
    <w:rsid w:val="00AC60BD"/>
    <w:rsid w:val="00AD0E20"/>
    <w:rsid w:val="00AE3638"/>
    <w:rsid w:val="00B1242D"/>
    <w:rsid w:val="00B22130"/>
    <w:rsid w:val="00B257F7"/>
    <w:rsid w:val="00B3203E"/>
    <w:rsid w:val="00B35D85"/>
    <w:rsid w:val="00B86113"/>
    <w:rsid w:val="00B950E3"/>
    <w:rsid w:val="00BB4B52"/>
    <w:rsid w:val="00BC46DC"/>
    <w:rsid w:val="00BC571B"/>
    <w:rsid w:val="00BD5296"/>
    <w:rsid w:val="00BF11BD"/>
    <w:rsid w:val="00C12C92"/>
    <w:rsid w:val="00C157C5"/>
    <w:rsid w:val="00C4215A"/>
    <w:rsid w:val="00C54DA3"/>
    <w:rsid w:val="00C82C55"/>
    <w:rsid w:val="00C878B3"/>
    <w:rsid w:val="00CA08D6"/>
    <w:rsid w:val="00CA5079"/>
    <w:rsid w:val="00CB3DAE"/>
    <w:rsid w:val="00CB4F7D"/>
    <w:rsid w:val="00CD1D9C"/>
    <w:rsid w:val="00CE27B1"/>
    <w:rsid w:val="00D01DC1"/>
    <w:rsid w:val="00D02D50"/>
    <w:rsid w:val="00D1142D"/>
    <w:rsid w:val="00D2235A"/>
    <w:rsid w:val="00D23F44"/>
    <w:rsid w:val="00D27EB4"/>
    <w:rsid w:val="00D63D01"/>
    <w:rsid w:val="00D66582"/>
    <w:rsid w:val="00D73593"/>
    <w:rsid w:val="00DA3805"/>
    <w:rsid w:val="00DB1F3F"/>
    <w:rsid w:val="00DB4BDF"/>
    <w:rsid w:val="00DE24FD"/>
    <w:rsid w:val="00DF3131"/>
    <w:rsid w:val="00E41092"/>
    <w:rsid w:val="00E4502A"/>
    <w:rsid w:val="00E71C0C"/>
    <w:rsid w:val="00E846E3"/>
    <w:rsid w:val="00E9235B"/>
    <w:rsid w:val="00EB09AA"/>
    <w:rsid w:val="00EB3BA9"/>
    <w:rsid w:val="00EB6FD7"/>
    <w:rsid w:val="00ED6526"/>
    <w:rsid w:val="00EE1F8A"/>
    <w:rsid w:val="00EE39A5"/>
    <w:rsid w:val="00EE3B1F"/>
    <w:rsid w:val="00EF7411"/>
    <w:rsid w:val="00F1560E"/>
    <w:rsid w:val="00F37812"/>
    <w:rsid w:val="00F47EF5"/>
    <w:rsid w:val="00F55B0A"/>
    <w:rsid w:val="00F77000"/>
    <w:rsid w:val="00F7730B"/>
    <w:rsid w:val="00F85540"/>
    <w:rsid w:val="00F858A1"/>
    <w:rsid w:val="00F9485D"/>
    <w:rsid w:val="00FA49A8"/>
    <w:rsid w:val="00FC0216"/>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964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how-to-report-a-serious-incident-in-your-char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arities-detailed-guidance-notes/annex-viii-tainted-charity-donations" TargetMode="External"/><Relationship Id="rId5" Type="http://schemas.openxmlformats.org/officeDocument/2006/relationships/styles" Target="styles.xml"/><Relationship Id="rId15" Type="http://schemas.openxmlformats.org/officeDocument/2006/relationships/hyperlink" Target="http://www.charityexcellence.co.uk" TargetMode="External"/><Relationship Id="rId10" Type="http://schemas.openxmlformats.org/officeDocument/2006/relationships/hyperlink" Target="https://www.gov.uk/government/news/be-aware-of-suspect-donations-advice-for-charit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n@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02C23-79ED-4154-972E-D8B755A3CDDA}">
  <ds:schemaRefs>
    <ds:schemaRef ds:uri="http://schemas.microsoft.com/sharepoint/v3/contenttype/forms"/>
  </ds:schemaRefs>
</ds:datastoreItem>
</file>

<file path=customXml/itemProps2.xml><?xml version="1.0" encoding="utf-8"?>
<ds:datastoreItem xmlns:ds="http://schemas.openxmlformats.org/officeDocument/2006/customXml" ds:itemID="{DFDD0169-A530-4177-927F-53A30C4338FD}">
  <ds:schemaRefs>
    <ds:schemaRef ds:uri="http://schemas.openxmlformats.org/officeDocument/2006/bibliography"/>
  </ds:schemaRefs>
</ds:datastoreItem>
</file>

<file path=customXml/itemProps3.xml><?xml version="1.0" encoding="utf-8"?>
<ds:datastoreItem xmlns:ds="http://schemas.openxmlformats.org/officeDocument/2006/customXml" ds:itemID="{108F412F-DB4D-44AA-ADF9-744856CA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cp:revision>
  <cp:lastPrinted>2019-06-13T09:48:00Z</cp:lastPrinted>
  <dcterms:created xsi:type="dcterms:W3CDTF">2023-10-08T07:02:00Z</dcterms:created>
  <dcterms:modified xsi:type="dcterms:W3CDTF">2023-10-08T07:04:00Z</dcterms:modified>
</cp:coreProperties>
</file>