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5411438E" w:rsidR="001832CF" w:rsidRDefault="00BA6AF2" w:rsidP="39A5730C">
      <w:pPr>
        <w:pStyle w:val="Alumna"/>
        <w:rPr>
          <w:rFonts w:ascii="Arial" w:eastAsia="Arial" w:hAnsi="Arial" w:cs="Arial"/>
          <w:color w:val="4D5156"/>
          <w:sz w:val="21"/>
          <w:szCs w:val="21"/>
          <w:lang w:val="en-GB"/>
        </w:rPr>
      </w:pPr>
      <w:r>
        <w:rPr>
          <w:b/>
          <w:bCs/>
          <w:color w:val="1F4E79" w:themeColor="accent5" w:themeShade="80"/>
          <w:spacing w:val="0"/>
          <w:kern w:val="0"/>
        </w:rPr>
        <w:t>Gifts in Kind Policy</w:t>
      </w:r>
    </w:p>
    <w:p w14:paraId="30A6C971" w14:textId="77777777" w:rsidR="00A2455D" w:rsidRPr="000456AA" w:rsidRDefault="00A2455D" w:rsidP="00B94F5D">
      <w:pPr>
        <w:pStyle w:val="Heading2"/>
        <w:spacing w:line="276" w:lineRule="auto"/>
        <w:rPr>
          <w:sz w:val="32"/>
          <w:szCs w:val="32"/>
        </w:rPr>
      </w:pPr>
      <w:bookmarkStart w:id="0" w:name="_Hlk177287464"/>
      <w:bookmarkStart w:id="1" w:name="_Hlk178143094"/>
      <w:r w:rsidRPr="000456AA">
        <w:rPr>
          <w:rFonts w:ascii="Century Gothic" w:hAnsi="Century Gothic"/>
          <w:b/>
          <w:bCs/>
          <w:color w:val="1F4E79" w:themeColor="accent5" w:themeShade="80"/>
          <w:sz w:val="32"/>
          <w:szCs w:val="32"/>
        </w:rPr>
        <w:t>Applicability</w:t>
      </w:r>
    </w:p>
    <w:p w14:paraId="098ACF8B" w14:textId="77777777" w:rsidR="00A2455D" w:rsidRDefault="00A2455D" w:rsidP="00B94F5D">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43F1138F" w14:textId="77777777" w:rsidR="00FD0D6F" w:rsidRPr="00B94F5D" w:rsidRDefault="00FD0D6F" w:rsidP="00B94F5D">
      <w:pPr>
        <w:pStyle w:val="Heading2"/>
        <w:spacing w:line="276" w:lineRule="auto"/>
        <w:rPr>
          <w:rFonts w:ascii="Century Gothic" w:hAnsi="Century Gothic"/>
          <w:b/>
          <w:bCs/>
          <w:color w:val="1F4E79" w:themeColor="accent5" w:themeShade="80"/>
          <w:sz w:val="32"/>
          <w:szCs w:val="32"/>
        </w:rPr>
      </w:pPr>
      <w:r w:rsidRPr="00B94F5D">
        <w:rPr>
          <w:rFonts w:ascii="Century Gothic" w:hAnsi="Century Gothic"/>
          <w:b/>
          <w:bCs/>
          <w:color w:val="1F4E79" w:themeColor="accent5" w:themeShade="80"/>
          <w:sz w:val="32"/>
          <w:szCs w:val="32"/>
        </w:rPr>
        <w:t>What are Gifts in Kind?</w:t>
      </w:r>
    </w:p>
    <w:p w14:paraId="12883C81" w14:textId="251A8ED2" w:rsidR="00FD0D6F" w:rsidRPr="00FD0D6F" w:rsidRDefault="00FD0D6F" w:rsidP="00B94F5D">
      <w:pPr>
        <w:spacing w:before="100" w:beforeAutospacing="1" w:after="360" w:line="276" w:lineRule="auto"/>
        <w:rPr>
          <w:rFonts w:asciiTheme="majorHAnsi" w:hAnsiTheme="majorHAnsi"/>
          <w:szCs w:val="24"/>
        </w:rPr>
      </w:pPr>
      <w:r w:rsidRPr="00FD0D6F">
        <w:rPr>
          <w:rFonts w:asciiTheme="majorHAnsi" w:hAnsiTheme="majorHAnsi"/>
          <w:szCs w:val="24"/>
        </w:rPr>
        <w:t>Gifts in kind are non-cash donations of goods, services, or expertise provided to a charity free of charge or at a discounted rate. These can include items like office supplies, professional services, or donated products that support the charity's mission.</w:t>
      </w:r>
    </w:p>
    <w:p w14:paraId="0F85D564" w14:textId="77777777" w:rsidR="00FD0D6F" w:rsidRPr="00B94F5D" w:rsidRDefault="00FD0D6F" w:rsidP="00B94F5D">
      <w:pPr>
        <w:pStyle w:val="Heading2"/>
        <w:spacing w:line="276" w:lineRule="auto"/>
        <w:rPr>
          <w:rFonts w:ascii="Century Gothic" w:hAnsi="Century Gothic"/>
          <w:b/>
          <w:bCs/>
          <w:color w:val="1F4E79" w:themeColor="accent5" w:themeShade="80"/>
          <w:sz w:val="32"/>
          <w:szCs w:val="32"/>
        </w:rPr>
      </w:pPr>
      <w:r w:rsidRPr="00B94F5D">
        <w:rPr>
          <w:rFonts w:ascii="Century Gothic" w:hAnsi="Century Gothic"/>
          <w:b/>
          <w:bCs/>
          <w:color w:val="1F4E79" w:themeColor="accent5" w:themeShade="80"/>
          <w:sz w:val="32"/>
          <w:szCs w:val="32"/>
        </w:rPr>
        <w:t>Benefits of Gifts in Kind</w:t>
      </w:r>
    </w:p>
    <w:p w14:paraId="1C581D78" w14:textId="0C369DBC" w:rsidR="00FD0D6F" w:rsidRPr="00B94F5D" w:rsidRDefault="00FD0D6F" w:rsidP="00B94F5D">
      <w:pPr>
        <w:pStyle w:val="ListParagraph"/>
        <w:numPr>
          <w:ilvl w:val="0"/>
          <w:numId w:val="68"/>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Cost Savings:</w:t>
      </w:r>
      <w:r w:rsidRPr="00B94F5D">
        <w:rPr>
          <w:rFonts w:asciiTheme="majorHAnsi" w:hAnsiTheme="majorHAnsi"/>
          <w:color w:val="1F4E79" w:themeColor="accent5" w:themeShade="80"/>
          <w:sz w:val="24"/>
          <w:szCs w:val="24"/>
        </w:rPr>
        <w:t xml:space="preserve"> </w:t>
      </w:r>
      <w:r w:rsidRPr="00B94F5D">
        <w:rPr>
          <w:rFonts w:asciiTheme="majorHAnsi" w:hAnsiTheme="majorHAnsi"/>
          <w:sz w:val="24"/>
          <w:szCs w:val="24"/>
        </w:rPr>
        <w:t>Reduces the need for cash expenditure on essential items and services.</w:t>
      </w:r>
    </w:p>
    <w:p w14:paraId="7B6F4AA6" w14:textId="4B498E55" w:rsidR="00FD0D6F" w:rsidRPr="00B94F5D" w:rsidRDefault="00B94F5D" w:rsidP="00B94F5D">
      <w:pPr>
        <w:pStyle w:val="ListParagraph"/>
        <w:numPr>
          <w:ilvl w:val="0"/>
          <w:numId w:val="68"/>
        </w:numPr>
        <w:spacing w:before="100" w:beforeAutospacing="1" w:after="360"/>
        <w:rPr>
          <w:rFonts w:asciiTheme="majorHAnsi" w:hAnsiTheme="majorHAnsi"/>
          <w:sz w:val="24"/>
          <w:szCs w:val="24"/>
        </w:rPr>
      </w:pPr>
      <w:r>
        <w:rPr>
          <w:rFonts w:asciiTheme="majorHAnsi" w:hAnsiTheme="majorHAnsi"/>
          <w:b/>
          <w:bCs/>
          <w:color w:val="1F4E79" w:themeColor="accent5" w:themeShade="80"/>
          <w:sz w:val="24"/>
          <w:szCs w:val="24"/>
        </w:rPr>
        <w:t>More or Wider Resources Available</w:t>
      </w:r>
      <w:r w:rsidR="00FD0D6F" w:rsidRPr="00B94F5D">
        <w:rPr>
          <w:rFonts w:asciiTheme="majorHAnsi" w:hAnsiTheme="majorHAnsi"/>
          <w:b/>
          <w:bCs/>
          <w:color w:val="1F4E79" w:themeColor="accent5" w:themeShade="80"/>
          <w:sz w:val="24"/>
          <w:szCs w:val="24"/>
        </w:rPr>
        <w:t>:</w:t>
      </w:r>
      <w:r w:rsidR="00FD0D6F" w:rsidRPr="00B94F5D">
        <w:rPr>
          <w:rFonts w:asciiTheme="majorHAnsi" w:hAnsiTheme="majorHAnsi"/>
          <w:color w:val="1F4E79" w:themeColor="accent5" w:themeShade="80"/>
          <w:sz w:val="24"/>
          <w:szCs w:val="24"/>
        </w:rPr>
        <w:t xml:space="preserve"> </w:t>
      </w:r>
      <w:r w:rsidR="00FD0D6F" w:rsidRPr="00B94F5D">
        <w:rPr>
          <w:rFonts w:asciiTheme="majorHAnsi" w:hAnsiTheme="majorHAnsi"/>
          <w:sz w:val="24"/>
          <w:szCs w:val="24"/>
        </w:rPr>
        <w:t>Expands the range of resources available to the charity.</w:t>
      </w:r>
    </w:p>
    <w:p w14:paraId="778FBC23" w14:textId="6EA5AE5A" w:rsidR="00FD0D6F" w:rsidRPr="00B94F5D" w:rsidRDefault="00FD0D6F" w:rsidP="00B94F5D">
      <w:pPr>
        <w:pStyle w:val="ListParagraph"/>
        <w:numPr>
          <w:ilvl w:val="0"/>
          <w:numId w:val="68"/>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Community Engagement:</w:t>
      </w:r>
      <w:r w:rsidRPr="00B94F5D">
        <w:rPr>
          <w:rFonts w:asciiTheme="majorHAnsi" w:hAnsiTheme="majorHAnsi"/>
          <w:color w:val="1F4E79" w:themeColor="accent5" w:themeShade="80"/>
          <w:sz w:val="24"/>
          <w:szCs w:val="24"/>
        </w:rPr>
        <w:t xml:space="preserve"> </w:t>
      </w:r>
      <w:r w:rsidRPr="00B94F5D">
        <w:rPr>
          <w:rFonts w:asciiTheme="majorHAnsi" w:hAnsiTheme="majorHAnsi"/>
          <w:sz w:val="24"/>
          <w:szCs w:val="24"/>
        </w:rPr>
        <w:t>Encourages com</w:t>
      </w:r>
      <w:r w:rsidR="00B94F5D">
        <w:rPr>
          <w:rFonts w:asciiTheme="majorHAnsi" w:hAnsiTheme="majorHAnsi"/>
          <w:sz w:val="24"/>
          <w:szCs w:val="24"/>
        </w:rPr>
        <w:t>panies</w:t>
      </w:r>
      <w:r w:rsidRPr="00B94F5D">
        <w:rPr>
          <w:rFonts w:asciiTheme="majorHAnsi" w:hAnsiTheme="majorHAnsi"/>
          <w:sz w:val="24"/>
          <w:szCs w:val="24"/>
        </w:rPr>
        <w:t xml:space="preserve"> to contribute in ways other than monetary donations.</w:t>
      </w:r>
    </w:p>
    <w:p w14:paraId="6031720A" w14:textId="77777777" w:rsidR="00FD0D6F" w:rsidRPr="00B94F5D" w:rsidRDefault="00FD0D6F" w:rsidP="00B94F5D">
      <w:pPr>
        <w:pStyle w:val="ListParagraph"/>
        <w:numPr>
          <w:ilvl w:val="0"/>
          <w:numId w:val="68"/>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Sustainability:</w:t>
      </w:r>
      <w:r w:rsidRPr="00B94F5D">
        <w:rPr>
          <w:rFonts w:asciiTheme="majorHAnsi" w:hAnsiTheme="majorHAnsi"/>
          <w:color w:val="1F4E79" w:themeColor="accent5" w:themeShade="80"/>
          <w:sz w:val="24"/>
          <w:szCs w:val="24"/>
        </w:rPr>
        <w:t xml:space="preserve"> </w:t>
      </w:r>
      <w:r w:rsidRPr="00B94F5D">
        <w:rPr>
          <w:rFonts w:asciiTheme="majorHAnsi" w:hAnsiTheme="majorHAnsi"/>
          <w:sz w:val="24"/>
          <w:szCs w:val="24"/>
        </w:rPr>
        <w:t>Promotes sustainable practices by reusing and repurposing goods.</w:t>
      </w:r>
    </w:p>
    <w:p w14:paraId="00ADF834" w14:textId="19841BAE" w:rsidR="00C12002" w:rsidRPr="004764DF" w:rsidRDefault="00C12002"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W</w:t>
      </w:r>
      <w:r w:rsidR="007D3508" w:rsidRPr="004764DF">
        <w:rPr>
          <w:rFonts w:ascii="Century Gothic" w:hAnsi="Century Gothic"/>
          <w:b/>
          <w:bCs/>
          <w:color w:val="1F4E79" w:themeColor="accent5" w:themeShade="80"/>
          <w:sz w:val="32"/>
          <w:szCs w:val="32"/>
        </w:rPr>
        <w:t xml:space="preserve">hat are the Different Ways That </w:t>
      </w:r>
      <w:r w:rsidRPr="004764DF">
        <w:rPr>
          <w:rFonts w:ascii="Century Gothic" w:hAnsi="Century Gothic"/>
          <w:b/>
          <w:bCs/>
          <w:color w:val="1F4E79" w:themeColor="accent5" w:themeShade="80"/>
          <w:sz w:val="32"/>
          <w:szCs w:val="32"/>
        </w:rPr>
        <w:t>Companies Donate Gifts in Kind</w:t>
      </w:r>
      <w:r w:rsidR="007D3508" w:rsidRPr="004764DF">
        <w:rPr>
          <w:rFonts w:ascii="Century Gothic" w:hAnsi="Century Gothic"/>
          <w:b/>
          <w:bCs/>
          <w:color w:val="1F4E79" w:themeColor="accent5" w:themeShade="80"/>
          <w:sz w:val="32"/>
          <w:szCs w:val="32"/>
        </w:rPr>
        <w:t>?</w:t>
      </w:r>
    </w:p>
    <w:p w14:paraId="1452FB79" w14:textId="77777777" w:rsidR="007D3508" w:rsidRDefault="00C12002" w:rsidP="00B94F5D">
      <w:pPr>
        <w:spacing w:before="100" w:beforeAutospacing="1" w:after="360" w:line="276" w:lineRule="auto"/>
        <w:rPr>
          <w:rFonts w:asciiTheme="majorHAnsi" w:hAnsiTheme="majorHAnsi"/>
          <w:szCs w:val="24"/>
        </w:rPr>
      </w:pPr>
      <w:r w:rsidRPr="00C12002">
        <w:rPr>
          <w:rFonts w:asciiTheme="majorHAnsi" w:hAnsiTheme="majorHAnsi"/>
          <w:szCs w:val="24"/>
        </w:rPr>
        <w:t xml:space="preserve">Companies can donate gifts in kind in several ways. </w:t>
      </w:r>
    </w:p>
    <w:p w14:paraId="034CDC63" w14:textId="3E8CCBE2" w:rsidR="007D3508" w:rsidRPr="007D3508" w:rsidRDefault="00B94F5D" w:rsidP="00B94F5D">
      <w:pPr>
        <w:pStyle w:val="ListParagraph"/>
        <w:numPr>
          <w:ilvl w:val="0"/>
          <w:numId w:val="63"/>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Surplus Inventory.</w:t>
      </w:r>
      <w:r w:rsidRPr="00B94F5D">
        <w:rPr>
          <w:rFonts w:asciiTheme="majorHAnsi" w:hAnsiTheme="majorHAnsi"/>
          <w:color w:val="1F4E79" w:themeColor="accent5" w:themeShade="80"/>
          <w:sz w:val="24"/>
          <w:szCs w:val="24"/>
        </w:rPr>
        <w:t xml:space="preserve"> </w:t>
      </w:r>
      <w:r w:rsidR="00C12002" w:rsidRPr="007D3508">
        <w:rPr>
          <w:rFonts w:asciiTheme="majorHAnsi" w:hAnsiTheme="majorHAnsi"/>
          <w:sz w:val="24"/>
          <w:szCs w:val="24"/>
        </w:rPr>
        <w:t>They can provide surplus inventory, such as end-of-line products or unsold stock</w:t>
      </w:r>
      <w:r w:rsidR="007D3508" w:rsidRPr="007D3508">
        <w:rPr>
          <w:rFonts w:asciiTheme="majorHAnsi" w:hAnsiTheme="majorHAnsi"/>
          <w:sz w:val="24"/>
          <w:szCs w:val="24"/>
        </w:rPr>
        <w:t>.</w:t>
      </w:r>
    </w:p>
    <w:p w14:paraId="3EF9604D" w14:textId="661D0F86" w:rsidR="007D3508" w:rsidRPr="007D3508" w:rsidRDefault="00B94F5D" w:rsidP="00B94F5D">
      <w:pPr>
        <w:pStyle w:val="ListParagraph"/>
        <w:numPr>
          <w:ilvl w:val="0"/>
          <w:numId w:val="63"/>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Equipment Disposal.</w:t>
      </w:r>
      <w:r w:rsidRPr="00B94F5D">
        <w:rPr>
          <w:rFonts w:asciiTheme="majorHAnsi" w:hAnsiTheme="majorHAnsi"/>
          <w:color w:val="1F4E79" w:themeColor="accent5" w:themeShade="80"/>
          <w:sz w:val="24"/>
          <w:szCs w:val="24"/>
        </w:rPr>
        <w:t xml:space="preserve">  </w:t>
      </w:r>
      <w:r w:rsidR="007D3508" w:rsidRPr="007D3508">
        <w:rPr>
          <w:rFonts w:asciiTheme="majorHAnsi" w:hAnsiTheme="majorHAnsi"/>
          <w:sz w:val="24"/>
          <w:szCs w:val="24"/>
        </w:rPr>
        <w:t xml:space="preserve">Companies </w:t>
      </w:r>
      <w:r w:rsidR="00C12002" w:rsidRPr="007D3508">
        <w:rPr>
          <w:rFonts w:asciiTheme="majorHAnsi" w:hAnsiTheme="majorHAnsi"/>
          <w:sz w:val="24"/>
          <w:szCs w:val="24"/>
        </w:rPr>
        <w:t xml:space="preserve">can also donate equipment they no longer need, like computers, office furniture, and tools that are still in good working condition. </w:t>
      </w:r>
    </w:p>
    <w:p w14:paraId="2D179385" w14:textId="3C99981F" w:rsidR="00C12002" w:rsidRPr="007D3508" w:rsidRDefault="00B94F5D" w:rsidP="00B94F5D">
      <w:pPr>
        <w:pStyle w:val="ListParagraph"/>
        <w:numPr>
          <w:ilvl w:val="0"/>
          <w:numId w:val="63"/>
        </w:numPr>
        <w:spacing w:before="100" w:beforeAutospacing="1" w:after="360"/>
        <w:rPr>
          <w:rFonts w:asciiTheme="majorHAnsi" w:hAnsiTheme="majorHAnsi"/>
          <w:sz w:val="24"/>
          <w:szCs w:val="24"/>
        </w:rPr>
      </w:pPr>
      <w:r w:rsidRPr="00B94F5D">
        <w:rPr>
          <w:rFonts w:asciiTheme="majorHAnsi" w:hAnsiTheme="majorHAnsi"/>
          <w:b/>
          <w:bCs/>
          <w:color w:val="1F4E79" w:themeColor="accent5" w:themeShade="80"/>
          <w:sz w:val="24"/>
          <w:szCs w:val="24"/>
        </w:rPr>
        <w:t>Pro Bono Services.</w:t>
      </w:r>
      <w:r w:rsidRPr="00B94F5D">
        <w:rPr>
          <w:rFonts w:asciiTheme="majorHAnsi" w:hAnsiTheme="majorHAnsi"/>
          <w:color w:val="1F4E79" w:themeColor="accent5" w:themeShade="80"/>
          <w:sz w:val="24"/>
          <w:szCs w:val="24"/>
        </w:rPr>
        <w:t xml:space="preserve">  </w:t>
      </w:r>
      <w:r w:rsidR="00C12002" w:rsidRPr="007D3508">
        <w:rPr>
          <w:rFonts w:asciiTheme="majorHAnsi" w:hAnsiTheme="majorHAnsi"/>
          <w:sz w:val="24"/>
          <w:szCs w:val="24"/>
        </w:rPr>
        <w:t>Another method is offering professional services</w:t>
      </w:r>
      <w:r w:rsidR="007D3508" w:rsidRPr="007D3508">
        <w:rPr>
          <w:rFonts w:asciiTheme="majorHAnsi" w:hAnsiTheme="majorHAnsi"/>
          <w:sz w:val="24"/>
          <w:szCs w:val="24"/>
        </w:rPr>
        <w:t xml:space="preserve"> pro bono (at no cost)</w:t>
      </w:r>
      <w:r w:rsidR="00C12002" w:rsidRPr="007D3508">
        <w:rPr>
          <w:rFonts w:asciiTheme="majorHAnsi" w:hAnsiTheme="majorHAnsi"/>
          <w:sz w:val="24"/>
          <w:szCs w:val="24"/>
        </w:rPr>
        <w:t xml:space="preserve">, such as legal advice, IT support, or marketing expertise. </w:t>
      </w:r>
    </w:p>
    <w:p w14:paraId="7C832ABC" w14:textId="00E24A63" w:rsidR="00C12002" w:rsidRPr="004764DF" w:rsidRDefault="007D3508"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 xml:space="preserve">What Are the </w:t>
      </w:r>
      <w:r w:rsidR="00C12002" w:rsidRPr="004764DF">
        <w:rPr>
          <w:rFonts w:ascii="Century Gothic" w:hAnsi="Century Gothic"/>
          <w:b/>
          <w:bCs/>
          <w:color w:val="1F4E79" w:themeColor="accent5" w:themeShade="80"/>
          <w:sz w:val="32"/>
          <w:szCs w:val="32"/>
        </w:rPr>
        <w:t>Benefits to Companies in Donating Gifts in Kind</w:t>
      </w:r>
      <w:r w:rsidRPr="004764DF">
        <w:rPr>
          <w:rFonts w:ascii="Century Gothic" w:hAnsi="Century Gothic"/>
          <w:b/>
          <w:bCs/>
          <w:color w:val="1F4E79" w:themeColor="accent5" w:themeShade="80"/>
          <w:sz w:val="32"/>
          <w:szCs w:val="32"/>
        </w:rPr>
        <w:t>?</w:t>
      </w:r>
    </w:p>
    <w:p w14:paraId="0EE33A67" w14:textId="77777777" w:rsidR="007D3508" w:rsidRDefault="00C12002" w:rsidP="00B94F5D">
      <w:pPr>
        <w:spacing w:before="100" w:beforeAutospacing="1" w:after="360" w:line="276" w:lineRule="auto"/>
        <w:rPr>
          <w:rFonts w:asciiTheme="majorHAnsi" w:hAnsiTheme="majorHAnsi"/>
          <w:szCs w:val="24"/>
        </w:rPr>
      </w:pPr>
      <w:r w:rsidRPr="00C12002">
        <w:rPr>
          <w:rFonts w:asciiTheme="majorHAnsi" w:hAnsiTheme="majorHAnsi"/>
          <w:szCs w:val="24"/>
        </w:rPr>
        <w:t xml:space="preserve">Donating gifts in kind offers numerous benefits to companies. </w:t>
      </w:r>
    </w:p>
    <w:p w14:paraId="793A2497" w14:textId="77777777" w:rsidR="007D3508" w:rsidRPr="007D3508" w:rsidRDefault="007D3508" w:rsidP="00B94F5D">
      <w:pPr>
        <w:pStyle w:val="ListParagraph"/>
        <w:numPr>
          <w:ilvl w:val="0"/>
          <w:numId w:val="64"/>
        </w:numPr>
        <w:spacing w:before="100" w:beforeAutospacing="1" w:after="360"/>
        <w:rPr>
          <w:rFonts w:asciiTheme="majorHAnsi" w:hAnsiTheme="majorHAnsi"/>
          <w:sz w:val="24"/>
          <w:szCs w:val="24"/>
        </w:rPr>
      </w:pPr>
      <w:r w:rsidRPr="007D3508">
        <w:rPr>
          <w:rFonts w:asciiTheme="majorHAnsi" w:hAnsiTheme="majorHAnsi"/>
          <w:sz w:val="24"/>
          <w:szCs w:val="24"/>
        </w:rPr>
        <w:lastRenderedPageBreak/>
        <w:t xml:space="preserve">It’s </w:t>
      </w:r>
      <w:r w:rsidR="00C12002" w:rsidRPr="007D3508">
        <w:rPr>
          <w:rFonts w:asciiTheme="majorHAnsi" w:hAnsiTheme="majorHAnsi"/>
          <w:sz w:val="24"/>
          <w:szCs w:val="24"/>
        </w:rPr>
        <w:t>a cost-effective way to support charit</w:t>
      </w:r>
      <w:r w:rsidRPr="007D3508">
        <w:rPr>
          <w:rFonts w:asciiTheme="majorHAnsi" w:hAnsiTheme="majorHAnsi"/>
          <w:sz w:val="24"/>
          <w:szCs w:val="24"/>
        </w:rPr>
        <w:t>ies</w:t>
      </w:r>
      <w:r w:rsidR="00C12002" w:rsidRPr="007D3508">
        <w:rPr>
          <w:rFonts w:asciiTheme="majorHAnsi" w:hAnsiTheme="majorHAnsi"/>
          <w:sz w:val="24"/>
          <w:szCs w:val="24"/>
        </w:rPr>
        <w:t xml:space="preserve"> and enhances the company's corporate social responsibility profile. </w:t>
      </w:r>
    </w:p>
    <w:p w14:paraId="3920A69D" w14:textId="77777777" w:rsidR="007D3508" w:rsidRPr="007D3508" w:rsidRDefault="00C12002" w:rsidP="00B94F5D">
      <w:pPr>
        <w:pStyle w:val="ListParagraph"/>
        <w:numPr>
          <w:ilvl w:val="0"/>
          <w:numId w:val="64"/>
        </w:numPr>
        <w:spacing w:before="100" w:beforeAutospacing="1" w:after="360"/>
        <w:rPr>
          <w:rFonts w:asciiTheme="majorHAnsi" w:hAnsiTheme="majorHAnsi"/>
          <w:sz w:val="24"/>
          <w:szCs w:val="24"/>
        </w:rPr>
      </w:pPr>
      <w:r w:rsidRPr="007D3508">
        <w:rPr>
          <w:rFonts w:asciiTheme="majorHAnsi" w:hAnsiTheme="majorHAnsi"/>
          <w:sz w:val="24"/>
          <w:szCs w:val="24"/>
        </w:rPr>
        <w:t xml:space="preserve">Such donations can also lead to tax relief, as they may qualify for deductions under UK tax laws, making it financially advantageous. </w:t>
      </w:r>
    </w:p>
    <w:p w14:paraId="298B5EF1" w14:textId="77777777" w:rsidR="007D3508" w:rsidRPr="007D3508" w:rsidRDefault="00C12002" w:rsidP="00B94F5D">
      <w:pPr>
        <w:pStyle w:val="ListParagraph"/>
        <w:numPr>
          <w:ilvl w:val="0"/>
          <w:numId w:val="64"/>
        </w:numPr>
        <w:spacing w:before="100" w:beforeAutospacing="1" w:after="360"/>
        <w:rPr>
          <w:rFonts w:asciiTheme="majorHAnsi" w:hAnsiTheme="majorHAnsi"/>
          <w:sz w:val="24"/>
          <w:szCs w:val="24"/>
        </w:rPr>
      </w:pPr>
      <w:r w:rsidRPr="007D3508">
        <w:rPr>
          <w:rFonts w:asciiTheme="majorHAnsi" w:hAnsiTheme="majorHAnsi"/>
          <w:sz w:val="24"/>
          <w:szCs w:val="24"/>
        </w:rPr>
        <w:t xml:space="preserve">Additionally, donating surplus goods helps reduce waste and promotes sustainability. </w:t>
      </w:r>
    </w:p>
    <w:p w14:paraId="4FDA6977" w14:textId="34A498EC" w:rsidR="00C12002" w:rsidRPr="007D3508" w:rsidRDefault="00C12002" w:rsidP="00B94F5D">
      <w:pPr>
        <w:pStyle w:val="ListParagraph"/>
        <w:numPr>
          <w:ilvl w:val="0"/>
          <w:numId w:val="64"/>
        </w:numPr>
        <w:spacing w:before="100" w:beforeAutospacing="1" w:after="360"/>
        <w:rPr>
          <w:rFonts w:asciiTheme="majorHAnsi" w:hAnsiTheme="majorHAnsi"/>
          <w:sz w:val="24"/>
          <w:szCs w:val="24"/>
        </w:rPr>
      </w:pPr>
      <w:r w:rsidRPr="007D3508">
        <w:rPr>
          <w:rFonts w:asciiTheme="majorHAnsi" w:hAnsiTheme="majorHAnsi"/>
          <w:sz w:val="24"/>
          <w:szCs w:val="24"/>
        </w:rPr>
        <w:t>It can also improve employee morale and engagement, as employees appreciate working for a company that gives back to the community.</w:t>
      </w:r>
    </w:p>
    <w:p w14:paraId="704E37BF" w14:textId="77777777" w:rsidR="004764DF" w:rsidRPr="004764DF" w:rsidRDefault="004764DF"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What We Can't Accept</w:t>
      </w:r>
    </w:p>
    <w:p w14:paraId="03BD8038" w14:textId="6B8B034C" w:rsidR="004764DF" w:rsidRPr="00EE2E64" w:rsidRDefault="004764DF" w:rsidP="004764DF">
      <w:pPr>
        <w:spacing w:before="100" w:beforeAutospacing="1" w:after="360" w:line="276" w:lineRule="auto"/>
        <w:rPr>
          <w:rFonts w:asciiTheme="majorHAnsi" w:hAnsiTheme="majorHAnsi"/>
          <w:szCs w:val="24"/>
        </w:rPr>
      </w:pPr>
      <w:r>
        <w:rPr>
          <w:rFonts w:asciiTheme="majorHAnsi" w:hAnsiTheme="majorHAnsi"/>
          <w:szCs w:val="24"/>
        </w:rPr>
        <w:t xml:space="preserve">There are some circumstances in which we would not </w:t>
      </w:r>
      <w:r w:rsidRPr="00EE2E64">
        <w:rPr>
          <w:rFonts w:asciiTheme="majorHAnsi" w:hAnsiTheme="majorHAnsi"/>
          <w:szCs w:val="24"/>
        </w:rPr>
        <w:t xml:space="preserve">be able to accept a </w:t>
      </w:r>
      <w:r>
        <w:rPr>
          <w:rFonts w:asciiTheme="majorHAnsi" w:hAnsiTheme="majorHAnsi"/>
          <w:szCs w:val="24"/>
        </w:rPr>
        <w:t>g</w:t>
      </w:r>
      <w:r w:rsidRPr="00EE2E64">
        <w:rPr>
          <w:rFonts w:asciiTheme="majorHAnsi" w:hAnsiTheme="majorHAnsi"/>
          <w:szCs w:val="24"/>
        </w:rPr>
        <w:t xml:space="preserve">ift </w:t>
      </w:r>
      <w:r>
        <w:rPr>
          <w:rFonts w:asciiTheme="majorHAnsi" w:hAnsiTheme="majorHAnsi"/>
          <w:szCs w:val="24"/>
        </w:rPr>
        <w:t>i</w:t>
      </w:r>
      <w:r w:rsidRPr="00EE2E64">
        <w:rPr>
          <w:rFonts w:asciiTheme="majorHAnsi" w:hAnsiTheme="majorHAnsi"/>
          <w:szCs w:val="24"/>
        </w:rPr>
        <w:t xml:space="preserve">n </w:t>
      </w:r>
      <w:r>
        <w:rPr>
          <w:rFonts w:asciiTheme="majorHAnsi" w:hAnsiTheme="majorHAnsi"/>
          <w:szCs w:val="24"/>
        </w:rPr>
        <w:t>k</w:t>
      </w:r>
      <w:r w:rsidRPr="00EE2E64">
        <w:rPr>
          <w:rFonts w:asciiTheme="majorHAnsi" w:hAnsiTheme="majorHAnsi"/>
          <w:szCs w:val="24"/>
        </w:rPr>
        <w:t>ind donation from a company</w:t>
      </w:r>
      <w:r>
        <w:rPr>
          <w:rFonts w:asciiTheme="majorHAnsi" w:hAnsiTheme="majorHAnsi"/>
          <w:szCs w:val="24"/>
        </w:rPr>
        <w:t xml:space="preserve">.  </w:t>
      </w:r>
      <w:r w:rsidRPr="00EE2E64">
        <w:rPr>
          <w:rFonts w:asciiTheme="majorHAnsi" w:hAnsiTheme="majorHAnsi"/>
          <w:szCs w:val="24"/>
        </w:rPr>
        <w:t xml:space="preserve">  </w:t>
      </w:r>
    </w:p>
    <w:p w14:paraId="17EC9221" w14:textId="77777777" w:rsidR="004764DF" w:rsidRPr="00EE2E64" w:rsidRDefault="004764DF" w:rsidP="004764DF">
      <w:pPr>
        <w:pStyle w:val="ListParagraph"/>
        <w:numPr>
          <w:ilvl w:val="0"/>
          <w:numId w:val="66"/>
        </w:numPr>
        <w:spacing w:before="100" w:beforeAutospacing="1" w:after="360"/>
        <w:rPr>
          <w:rFonts w:asciiTheme="majorHAnsi" w:hAnsiTheme="majorHAnsi"/>
          <w:sz w:val="24"/>
          <w:szCs w:val="24"/>
        </w:rPr>
      </w:pPr>
      <w:r w:rsidRPr="00EE2E64">
        <w:rPr>
          <w:rFonts w:asciiTheme="majorHAnsi" w:hAnsiTheme="majorHAnsi"/>
          <w:b/>
          <w:bCs/>
          <w:color w:val="1F4E79" w:themeColor="accent5" w:themeShade="80"/>
          <w:sz w:val="24"/>
          <w:szCs w:val="24"/>
        </w:rPr>
        <w:t>Charitable Objectives.</w:t>
      </w:r>
      <w:r w:rsidRPr="00EE2E64">
        <w:rPr>
          <w:rFonts w:asciiTheme="majorHAnsi" w:hAnsiTheme="majorHAnsi"/>
          <w:color w:val="1F4E79" w:themeColor="accent5" w:themeShade="80"/>
          <w:sz w:val="24"/>
          <w:szCs w:val="24"/>
        </w:rPr>
        <w:t xml:space="preserve"> </w:t>
      </w:r>
      <w:r>
        <w:rPr>
          <w:rFonts w:asciiTheme="majorHAnsi" w:hAnsiTheme="majorHAnsi"/>
          <w:color w:val="1F4E79" w:themeColor="accent5" w:themeShade="80"/>
          <w:sz w:val="24"/>
          <w:szCs w:val="24"/>
        </w:rPr>
        <w:t>I</w:t>
      </w:r>
      <w:r w:rsidRPr="00EE2E64">
        <w:rPr>
          <w:rFonts w:asciiTheme="majorHAnsi" w:hAnsiTheme="majorHAnsi"/>
          <w:sz w:val="24"/>
          <w:szCs w:val="24"/>
        </w:rPr>
        <w:t>tems that would be in conflict with out charitable objectives, such that the harm caused by accepting the gift would be greater than the benefit doing so would bring.</w:t>
      </w:r>
    </w:p>
    <w:p w14:paraId="69AEAECA" w14:textId="77777777" w:rsidR="004764DF" w:rsidRPr="00EE2E64" w:rsidRDefault="004764DF" w:rsidP="004764DF">
      <w:pPr>
        <w:pStyle w:val="ListParagraph"/>
        <w:numPr>
          <w:ilvl w:val="0"/>
          <w:numId w:val="66"/>
        </w:numPr>
        <w:spacing w:before="100" w:beforeAutospacing="1" w:after="360"/>
        <w:rPr>
          <w:rFonts w:asciiTheme="majorHAnsi" w:hAnsiTheme="majorHAnsi"/>
          <w:sz w:val="24"/>
          <w:szCs w:val="24"/>
        </w:rPr>
      </w:pPr>
      <w:r w:rsidRPr="00EE2E64">
        <w:rPr>
          <w:rFonts w:asciiTheme="majorHAnsi" w:hAnsiTheme="majorHAnsi"/>
          <w:b/>
          <w:bCs/>
          <w:color w:val="1F4E79" w:themeColor="accent5" w:themeShade="80"/>
          <w:sz w:val="24"/>
          <w:szCs w:val="24"/>
        </w:rPr>
        <w:t>Value.</w:t>
      </w:r>
      <w:r w:rsidRPr="00EE2E64">
        <w:rPr>
          <w:rFonts w:asciiTheme="majorHAnsi" w:hAnsiTheme="majorHAnsi"/>
          <w:color w:val="1F4E79" w:themeColor="accent5" w:themeShade="80"/>
          <w:sz w:val="24"/>
          <w:szCs w:val="24"/>
        </w:rPr>
        <w:t xml:space="preserve">  </w:t>
      </w:r>
      <w:r>
        <w:rPr>
          <w:rFonts w:asciiTheme="majorHAnsi" w:hAnsiTheme="majorHAnsi"/>
          <w:color w:val="1F4E79" w:themeColor="accent5" w:themeShade="80"/>
          <w:sz w:val="24"/>
          <w:szCs w:val="24"/>
        </w:rPr>
        <w:t>G</w:t>
      </w:r>
      <w:r w:rsidRPr="00EE2E64">
        <w:rPr>
          <w:rFonts w:asciiTheme="majorHAnsi" w:hAnsiTheme="majorHAnsi"/>
          <w:sz w:val="24"/>
          <w:szCs w:val="24"/>
        </w:rPr>
        <w:t xml:space="preserve">ifts in kind where the cost of realising its value would exceed the benefit it would bring.   </w:t>
      </w:r>
    </w:p>
    <w:p w14:paraId="6D745B10" w14:textId="77777777" w:rsidR="004764DF" w:rsidRPr="00EE2E64" w:rsidRDefault="004764DF" w:rsidP="004764DF">
      <w:pPr>
        <w:pStyle w:val="ListParagraph"/>
        <w:numPr>
          <w:ilvl w:val="0"/>
          <w:numId w:val="66"/>
        </w:numPr>
        <w:spacing w:before="100" w:beforeAutospacing="1" w:after="360"/>
        <w:rPr>
          <w:rFonts w:asciiTheme="majorHAnsi" w:hAnsiTheme="majorHAnsi"/>
          <w:sz w:val="24"/>
          <w:szCs w:val="24"/>
        </w:rPr>
      </w:pPr>
      <w:r w:rsidRPr="00EE2E64">
        <w:rPr>
          <w:rFonts w:asciiTheme="majorHAnsi" w:hAnsiTheme="majorHAnsi"/>
          <w:b/>
          <w:bCs/>
          <w:color w:val="1F4E79" w:themeColor="accent5" w:themeShade="80"/>
          <w:sz w:val="24"/>
          <w:szCs w:val="24"/>
        </w:rPr>
        <w:t>Limiting Operations.</w:t>
      </w:r>
      <w:r w:rsidRPr="00EE2E64">
        <w:rPr>
          <w:rFonts w:asciiTheme="majorHAnsi" w:hAnsiTheme="majorHAnsi"/>
          <w:color w:val="1F4E79" w:themeColor="accent5" w:themeShade="80"/>
          <w:sz w:val="24"/>
          <w:szCs w:val="24"/>
        </w:rPr>
        <w:t xml:space="preserve"> </w:t>
      </w:r>
      <w:r>
        <w:rPr>
          <w:rFonts w:asciiTheme="majorHAnsi" w:hAnsiTheme="majorHAnsi"/>
          <w:color w:val="1F4E79" w:themeColor="accent5" w:themeShade="80"/>
          <w:sz w:val="24"/>
          <w:szCs w:val="24"/>
        </w:rPr>
        <w:t xml:space="preserve"> I</w:t>
      </w:r>
      <w:r w:rsidRPr="00EE2E64">
        <w:rPr>
          <w:rFonts w:asciiTheme="majorHAnsi" w:hAnsiTheme="majorHAnsi"/>
          <w:sz w:val="24"/>
          <w:szCs w:val="24"/>
        </w:rPr>
        <w:t>tems that come with conditions that could limit our operations or mission.</w:t>
      </w:r>
    </w:p>
    <w:p w14:paraId="23D6734B" w14:textId="77777777" w:rsidR="004764DF" w:rsidRPr="00EE2E64" w:rsidRDefault="004764DF" w:rsidP="004764DF">
      <w:pPr>
        <w:pStyle w:val="ListParagraph"/>
        <w:numPr>
          <w:ilvl w:val="0"/>
          <w:numId w:val="66"/>
        </w:numPr>
        <w:spacing w:before="100" w:beforeAutospacing="1" w:after="360"/>
        <w:rPr>
          <w:rFonts w:asciiTheme="majorHAnsi" w:hAnsiTheme="majorHAnsi"/>
          <w:sz w:val="24"/>
          <w:szCs w:val="24"/>
        </w:rPr>
      </w:pPr>
      <w:r w:rsidRPr="00EE2E64">
        <w:rPr>
          <w:rFonts w:asciiTheme="majorHAnsi" w:hAnsiTheme="majorHAnsi"/>
          <w:b/>
          <w:bCs/>
          <w:color w:val="1F4E79" w:themeColor="accent5" w:themeShade="80"/>
          <w:sz w:val="24"/>
          <w:szCs w:val="24"/>
        </w:rPr>
        <w:t>Capacity &amp; Expertise.</w:t>
      </w:r>
      <w:r w:rsidRPr="00EE2E64">
        <w:rPr>
          <w:rFonts w:asciiTheme="majorHAnsi" w:hAnsiTheme="majorHAnsi"/>
          <w:color w:val="1F4E79" w:themeColor="accent5" w:themeShade="80"/>
          <w:sz w:val="24"/>
          <w:szCs w:val="24"/>
        </w:rPr>
        <w:t xml:space="preserve">  </w:t>
      </w:r>
      <w:r>
        <w:rPr>
          <w:rFonts w:asciiTheme="majorHAnsi" w:hAnsiTheme="majorHAnsi"/>
          <w:color w:val="1F4E79" w:themeColor="accent5" w:themeShade="80"/>
          <w:sz w:val="24"/>
          <w:szCs w:val="24"/>
        </w:rPr>
        <w:t xml:space="preserve"> Items </w:t>
      </w:r>
      <w:r w:rsidRPr="00EE2E64">
        <w:rPr>
          <w:rFonts w:asciiTheme="majorHAnsi" w:hAnsiTheme="majorHAnsi"/>
          <w:sz w:val="24"/>
          <w:szCs w:val="24"/>
        </w:rPr>
        <w:t>we do not have the capacity or expertise to be able to use safely, such as repairing equipment or handling materials that pose safety risks or are environmentally harmful.</w:t>
      </w:r>
    </w:p>
    <w:p w14:paraId="63F0D60D" w14:textId="32654CF7" w:rsidR="00FD0D6F" w:rsidRPr="004764DF" w:rsidRDefault="00FD0D6F"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 xml:space="preserve">How </w:t>
      </w:r>
      <w:r w:rsidR="00B44523" w:rsidRPr="004764DF">
        <w:rPr>
          <w:rFonts w:ascii="Century Gothic" w:hAnsi="Century Gothic"/>
          <w:b/>
          <w:bCs/>
          <w:color w:val="1F4E79" w:themeColor="accent5" w:themeShade="80"/>
          <w:sz w:val="32"/>
          <w:szCs w:val="32"/>
        </w:rPr>
        <w:t>W</w:t>
      </w:r>
      <w:r w:rsidR="007D3508" w:rsidRPr="004764DF">
        <w:rPr>
          <w:rFonts w:ascii="Century Gothic" w:hAnsi="Century Gothic"/>
          <w:b/>
          <w:bCs/>
          <w:color w:val="1F4E79" w:themeColor="accent5" w:themeShade="80"/>
          <w:sz w:val="32"/>
          <w:szCs w:val="32"/>
        </w:rPr>
        <w:t>e Manage Gifts in Kind</w:t>
      </w:r>
    </w:p>
    <w:p w14:paraId="2F4AB984" w14:textId="5DCEC97C" w:rsidR="00EE2E64" w:rsidRPr="00EE2E64" w:rsidRDefault="00EE2E64" w:rsidP="00B94F5D">
      <w:pPr>
        <w:pStyle w:val="ListParagraph"/>
        <w:numPr>
          <w:ilvl w:val="0"/>
          <w:numId w:val="65"/>
        </w:numPr>
        <w:spacing w:before="100" w:beforeAutospacing="1" w:after="360"/>
        <w:rPr>
          <w:rFonts w:asciiTheme="majorHAnsi" w:hAnsiTheme="majorHAnsi"/>
          <w:sz w:val="24"/>
          <w:szCs w:val="24"/>
        </w:rPr>
      </w:pPr>
      <w:r w:rsidRPr="00EE2E64">
        <w:rPr>
          <w:rFonts w:asciiTheme="majorHAnsi" w:hAnsiTheme="majorHAnsi"/>
          <w:b/>
          <w:bCs/>
          <w:sz w:val="24"/>
          <w:szCs w:val="24"/>
        </w:rPr>
        <w:t>Due Diligence:</w:t>
      </w:r>
      <w:r w:rsidRPr="00EE2E64">
        <w:rPr>
          <w:rFonts w:asciiTheme="majorHAnsi" w:hAnsiTheme="majorHAnsi"/>
          <w:sz w:val="24"/>
          <w:szCs w:val="24"/>
        </w:rPr>
        <w:t xml:space="preserve">  We carry out appropriate due diligence companies to ensure there are no reasons that might reasonably prevent us in working with them.</w:t>
      </w:r>
    </w:p>
    <w:p w14:paraId="2950AA8F" w14:textId="6C55B697" w:rsidR="00FD0D6F" w:rsidRPr="007D3508" w:rsidRDefault="00FD0D6F" w:rsidP="00B94F5D">
      <w:pPr>
        <w:pStyle w:val="ListParagraph"/>
        <w:numPr>
          <w:ilvl w:val="0"/>
          <w:numId w:val="65"/>
        </w:numPr>
        <w:spacing w:before="100" w:beforeAutospacing="1" w:after="360"/>
        <w:rPr>
          <w:rFonts w:asciiTheme="majorHAnsi" w:hAnsiTheme="majorHAnsi"/>
          <w:sz w:val="24"/>
          <w:szCs w:val="24"/>
        </w:rPr>
      </w:pPr>
      <w:r w:rsidRPr="007D3508">
        <w:rPr>
          <w:rFonts w:asciiTheme="majorHAnsi" w:hAnsiTheme="majorHAnsi"/>
          <w:b/>
          <w:bCs/>
          <w:sz w:val="24"/>
          <w:szCs w:val="24"/>
        </w:rPr>
        <w:t>Acceptance Criteria:</w:t>
      </w:r>
      <w:r w:rsidRPr="007D3508">
        <w:rPr>
          <w:rFonts w:asciiTheme="majorHAnsi" w:hAnsiTheme="majorHAnsi"/>
          <w:sz w:val="24"/>
          <w:szCs w:val="24"/>
        </w:rPr>
        <w:t xml:space="preserve"> </w:t>
      </w:r>
      <w:r w:rsidR="007D3508">
        <w:rPr>
          <w:rFonts w:asciiTheme="majorHAnsi" w:hAnsiTheme="majorHAnsi"/>
          <w:sz w:val="24"/>
          <w:szCs w:val="24"/>
        </w:rPr>
        <w:t xml:space="preserve">We only </w:t>
      </w:r>
      <w:r w:rsidRPr="007D3508">
        <w:rPr>
          <w:rFonts w:asciiTheme="majorHAnsi" w:hAnsiTheme="majorHAnsi"/>
          <w:sz w:val="24"/>
          <w:szCs w:val="24"/>
        </w:rPr>
        <w:t xml:space="preserve">accept gifts that align with </w:t>
      </w:r>
      <w:r w:rsidR="007D3508">
        <w:rPr>
          <w:rFonts w:asciiTheme="majorHAnsi" w:hAnsiTheme="majorHAnsi"/>
          <w:sz w:val="24"/>
          <w:szCs w:val="24"/>
        </w:rPr>
        <w:t xml:space="preserve">our </w:t>
      </w:r>
      <w:r w:rsidRPr="007D3508">
        <w:rPr>
          <w:rFonts w:asciiTheme="majorHAnsi" w:hAnsiTheme="majorHAnsi"/>
          <w:sz w:val="24"/>
          <w:szCs w:val="24"/>
        </w:rPr>
        <w:t>charity's mission and needs.</w:t>
      </w:r>
    </w:p>
    <w:p w14:paraId="16ABF0C4" w14:textId="1275EE81" w:rsidR="00FD0D6F" w:rsidRPr="007D3508" w:rsidRDefault="00FD0D6F" w:rsidP="00B94F5D">
      <w:pPr>
        <w:pStyle w:val="ListParagraph"/>
        <w:numPr>
          <w:ilvl w:val="0"/>
          <w:numId w:val="65"/>
        </w:numPr>
        <w:spacing w:before="100" w:beforeAutospacing="1" w:after="360"/>
        <w:rPr>
          <w:rFonts w:asciiTheme="majorHAnsi" w:hAnsiTheme="majorHAnsi"/>
          <w:sz w:val="24"/>
          <w:szCs w:val="24"/>
        </w:rPr>
      </w:pPr>
      <w:r w:rsidRPr="007D3508">
        <w:rPr>
          <w:rFonts w:asciiTheme="majorHAnsi" w:hAnsiTheme="majorHAnsi"/>
          <w:b/>
          <w:bCs/>
          <w:sz w:val="24"/>
          <w:szCs w:val="24"/>
        </w:rPr>
        <w:t>Documentation:</w:t>
      </w:r>
      <w:r w:rsidRPr="007D3508">
        <w:rPr>
          <w:rFonts w:asciiTheme="majorHAnsi" w:hAnsiTheme="majorHAnsi"/>
          <w:sz w:val="24"/>
          <w:szCs w:val="24"/>
        </w:rPr>
        <w:t xml:space="preserve"> </w:t>
      </w:r>
      <w:r w:rsidR="007D3508">
        <w:rPr>
          <w:rFonts w:asciiTheme="majorHAnsi" w:hAnsiTheme="majorHAnsi"/>
          <w:sz w:val="24"/>
          <w:szCs w:val="24"/>
        </w:rPr>
        <w:t>We m</w:t>
      </w:r>
      <w:r w:rsidRPr="007D3508">
        <w:rPr>
          <w:rFonts w:asciiTheme="majorHAnsi" w:hAnsiTheme="majorHAnsi"/>
          <w:sz w:val="24"/>
          <w:szCs w:val="24"/>
        </w:rPr>
        <w:t>aintain detailed records of all gifts in kind, including descriptions, valuations, and donor information.</w:t>
      </w:r>
    </w:p>
    <w:p w14:paraId="5D40473F" w14:textId="605C9844" w:rsidR="00FD0D6F" w:rsidRDefault="00FD0D6F" w:rsidP="00B94F5D">
      <w:pPr>
        <w:pStyle w:val="ListParagraph"/>
        <w:numPr>
          <w:ilvl w:val="0"/>
          <w:numId w:val="65"/>
        </w:numPr>
        <w:spacing w:before="100" w:beforeAutospacing="1" w:after="360"/>
        <w:rPr>
          <w:rFonts w:asciiTheme="majorHAnsi" w:hAnsiTheme="majorHAnsi"/>
          <w:sz w:val="24"/>
          <w:szCs w:val="24"/>
        </w:rPr>
      </w:pPr>
      <w:r w:rsidRPr="007D3508">
        <w:rPr>
          <w:rFonts w:asciiTheme="majorHAnsi" w:hAnsiTheme="majorHAnsi"/>
          <w:b/>
          <w:bCs/>
          <w:sz w:val="24"/>
          <w:szCs w:val="24"/>
        </w:rPr>
        <w:t>Valuation:</w:t>
      </w:r>
      <w:r w:rsidRPr="007D3508">
        <w:rPr>
          <w:rFonts w:asciiTheme="majorHAnsi" w:hAnsiTheme="majorHAnsi"/>
          <w:sz w:val="24"/>
          <w:szCs w:val="24"/>
        </w:rPr>
        <w:t xml:space="preserve"> </w:t>
      </w:r>
      <w:r w:rsidR="007D3508">
        <w:rPr>
          <w:rFonts w:asciiTheme="majorHAnsi" w:hAnsiTheme="majorHAnsi"/>
          <w:sz w:val="24"/>
          <w:szCs w:val="24"/>
        </w:rPr>
        <w:t xml:space="preserve"> We a</w:t>
      </w:r>
      <w:r w:rsidRPr="007D3508">
        <w:rPr>
          <w:rFonts w:asciiTheme="majorHAnsi" w:hAnsiTheme="majorHAnsi"/>
          <w:sz w:val="24"/>
          <w:szCs w:val="24"/>
        </w:rPr>
        <w:t>ssess the fair market value of donated goods and services.</w:t>
      </w:r>
    </w:p>
    <w:p w14:paraId="673DC064" w14:textId="194E8CEB" w:rsidR="00EE2E64" w:rsidRPr="007D3508" w:rsidRDefault="00EE2E64" w:rsidP="00B94F5D">
      <w:pPr>
        <w:pStyle w:val="ListParagraph"/>
        <w:numPr>
          <w:ilvl w:val="0"/>
          <w:numId w:val="65"/>
        </w:numPr>
        <w:spacing w:before="100" w:beforeAutospacing="1" w:after="360"/>
        <w:rPr>
          <w:rFonts w:asciiTheme="majorHAnsi" w:hAnsiTheme="majorHAnsi"/>
          <w:sz w:val="24"/>
          <w:szCs w:val="24"/>
        </w:rPr>
      </w:pPr>
      <w:r>
        <w:rPr>
          <w:rFonts w:asciiTheme="majorHAnsi" w:hAnsiTheme="majorHAnsi"/>
          <w:b/>
          <w:bCs/>
          <w:sz w:val="24"/>
          <w:szCs w:val="24"/>
        </w:rPr>
        <w:t>Accounting:</w:t>
      </w:r>
      <w:r>
        <w:rPr>
          <w:rFonts w:asciiTheme="majorHAnsi" w:hAnsiTheme="majorHAnsi"/>
          <w:sz w:val="24"/>
          <w:szCs w:val="24"/>
        </w:rPr>
        <w:t xml:space="preserve">  We ensure gifts in kind are properly accounted for in our financial records.</w:t>
      </w:r>
    </w:p>
    <w:p w14:paraId="05FA36FF" w14:textId="07C8BC9E" w:rsidR="00FD0D6F" w:rsidRPr="007D3508" w:rsidRDefault="00FD0D6F" w:rsidP="00B94F5D">
      <w:pPr>
        <w:pStyle w:val="ListParagraph"/>
        <w:numPr>
          <w:ilvl w:val="0"/>
          <w:numId w:val="65"/>
        </w:numPr>
        <w:spacing w:before="100" w:beforeAutospacing="1" w:after="360"/>
        <w:rPr>
          <w:rFonts w:asciiTheme="majorHAnsi" w:hAnsiTheme="majorHAnsi"/>
          <w:sz w:val="24"/>
          <w:szCs w:val="24"/>
        </w:rPr>
      </w:pPr>
      <w:r w:rsidRPr="007D3508">
        <w:rPr>
          <w:rFonts w:asciiTheme="majorHAnsi" w:hAnsiTheme="majorHAnsi"/>
          <w:b/>
          <w:bCs/>
          <w:sz w:val="24"/>
          <w:szCs w:val="24"/>
        </w:rPr>
        <w:t>Acknowledgment:</w:t>
      </w:r>
      <w:r w:rsidRPr="007D3508">
        <w:rPr>
          <w:rFonts w:asciiTheme="majorHAnsi" w:hAnsiTheme="majorHAnsi"/>
          <w:sz w:val="24"/>
          <w:szCs w:val="24"/>
        </w:rPr>
        <w:t xml:space="preserve"> </w:t>
      </w:r>
      <w:r w:rsidR="007D3508">
        <w:rPr>
          <w:rFonts w:asciiTheme="majorHAnsi" w:hAnsiTheme="majorHAnsi"/>
          <w:sz w:val="24"/>
          <w:szCs w:val="24"/>
        </w:rPr>
        <w:t>We p</w:t>
      </w:r>
      <w:r w:rsidRPr="007D3508">
        <w:rPr>
          <w:rFonts w:asciiTheme="majorHAnsi" w:hAnsiTheme="majorHAnsi"/>
          <w:sz w:val="24"/>
          <w:szCs w:val="24"/>
        </w:rPr>
        <w:t>rovide timely and appropriate acknowledgment to donors for their contributions.</w:t>
      </w:r>
    </w:p>
    <w:p w14:paraId="6B1C98D2" w14:textId="4786B2C9" w:rsidR="00FD0D6F" w:rsidRPr="007D3508" w:rsidRDefault="00FD0D6F" w:rsidP="00B94F5D">
      <w:pPr>
        <w:pStyle w:val="ListParagraph"/>
        <w:numPr>
          <w:ilvl w:val="0"/>
          <w:numId w:val="65"/>
        </w:numPr>
        <w:spacing w:before="100" w:beforeAutospacing="1" w:after="360"/>
        <w:rPr>
          <w:rFonts w:asciiTheme="majorHAnsi" w:hAnsiTheme="majorHAnsi"/>
          <w:sz w:val="24"/>
          <w:szCs w:val="24"/>
        </w:rPr>
      </w:pPr>
      <w:r w:rsidRPr="007D3508">
        <w:rPr>
          <w:rFonts w:asciiTheme="majorHAnsi" w:hAnsiTheme="majorHAnsi"/>
          <w:b/>
          <w:bCs/>
          <w:sz w:val="24"/>
          <w:szCs w:val="24"/>
        </w:rPr>
        <w:t>Ethical Guidelines:</w:t>
      </w:r>
      <w:r w:rsidRPr="007D3508">
        <w:rPr>
          <w:rFonts w:asciiTheme="majorHAnsi" w:hAnsiTheme="majorHAnsi"/>
          <w:sz w:val="24"/>
          <w:szCs w:val="24"/>
        </w:rPr>
        <w:t xml:space="preserve"> </w:t>
      </w:r>
      <w:r w:rsidR="007D3508">
        <w:rPr>
          <w:rFonts w:asciiTheme="majorHAnsi" w:hAnsiTheme="majorHAnsi"/>
          <w:sz w:val="24"/>
          <w:szCs w:val="24"/>
        </w:rPr>
        <w:t>We e</w:t>
      </w:r>
      <w:r w:rsidRPr="007D3508">
        <w:rPr>
          <w:rFonts w:asciiTheme="majorHAnsi" w:hAnsiTheme="majorHAnsi"/>
          <w:sz w:val="24"/>
          <w:szCs w:val="24"/>
        </w:rPr>
        <w:t>nsure all gifts are free from conflicts of interest and comply with ethical fundraising practices.</w:t>
      </w:r>
    </w:p>
    <w:p w14:paraId="6FD1DC30" w14:textId="5ED001A8" w:rsidR="00FD0D6F" w:rsidRPr="004764DF" w:rsidRDefault="00FD0D6F"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lastRenderedPageBreak/>
        <w:t>Accounting for Gifts in Kind</w:t>
      </w:r>
    </w:p>
    <w:p w14:paraId="35BF7E82" w14:textId="0E0AF0FA" w:rsidR="00B67EF4" w:rsidRPr="00B67EF4" w:rsidRDefault="00AE0571" w:rsidP="00B94F5D">
      <w:pPr>
        <w:spacing w:before="100" w:beforeAutospacing="1" w:after="100" w:afterAutospacing="1" w:line="276" w:lineRule="auto"/>
        <w:rPr>
          <w:rFonts w:asciiTheme="majorHAnsi" w:eastAsia="Times New Roman" w:hAnsiTheme="majorHAnsi"/>
          <w:color w:val="auto"/>
          <w:spacing w:val="0"/>
          <w:kern w:val="0"/>
          <w:szCs w:val="24"/>
          <w:lang w:eastAsia="en-GB"/>
        </w:rPr>
      </w:pPr>
      <w:r w:rsidRPr="00AE0571">
        <w:rPr>
          <w:rFonts w:asciiTheme="majorHAnsi" w:eastAsia="Times New Roman" w:hAnsiTheme="majorHAnsi"/>
          <w:b/>
          <w:bCs/>
          <w:color w:val="1F4E79" w:themeColor="accent5" w:themeShade="80"/>
          <w:spacing w:val="0"/>
          <w:kern w:val="0"/>
          <w:szCs w:val="24"/>
          <w:lang w:eastAsia="en-GB"/>
        </w:rPr>
        <w:t>SORP Guidance.</w:t>
      </w:r>
      <w:r w:rsidRPr="00AE0571">
        <w:rPr>
          <w:rFonts w:asciiTheme="majorHAnsi" w:eastAsia="Times New Roman" w:hAnsiTheme="majorHAnsi"/>
          <w:color w:val="1F4E79" w:themeColor="accent5" w:themeShade="80"/>
          <w:spacing w:val="0"/>
          <w:kern w:val="0"/>
          <w:szCs w:val="24"/>
          <w:lang w:eastAsia="en-GB"/>
        </w:rPr>
        <w:t xml:space="preserve"> </w:t>
      </w:r>
      <w:r w:rsidR="00B67EF4" w:rsidRPr="00B67EF4">
        <w:rPr>
          <w:rFonts w:asciiTheme="majorHAnsi" w:eastAsia="Times New Roman" w:hAnsiTheme="majorHAnsi"/>
          <w:color w:val="auto"/>
          <w:spacing w:val="0"/>
          <w:kern w:val="0"/>
          <w:szCs w:val="24"/>
          <w:lang w:eastAsia="en-GB"/>
        </w:rPr>
        <w:t>According to the Charities Statement of Recommended Practice (SORP), fair value in accounting for donated gifts in kind refers to the estimated market value of the donated goods at the time they are received by the charity. This value should reflect what the charity would have paid if it had purchased the goods itself.</w:t>
      </w:r>
      <w:r w:rsidR="00B94F5D">
        <w:rPr>
          <w:rFonts w:asciiTheme="majorHAnsi" w:eastAsia="Times New Roman" w:hAnsiTheme="majorHAnsi"/>
          <w:color w:val="auto"/>
          <w:spacing w:val="0"/>
          <w:kern w:val="0"/>
          <w:szCs w:val="24"/>
          <w:lang w:eastAsia="en-GB"/>
        </w:rPr>
        <w:t xml:space="preserve">  </w:t>
      </w:r>
      <w:r w:rsidR="00B67EF4" w:rsidRPr="00B67EF4">
        <w:rPr>
          <w:rFonts w:asciiTheme="majorHAnsi" w:eastAsia="Times New Roman" w:hAnsiTheme="majorHAnsi"/>
          <w:color w:val="auto"/>
          <w:spacing w:val="0"/>
          <w:kern w:val="0"/>
          <w:szCs w:val="24"/>
          <w:lang w:eastAsia="en-GB"/>
        </w:rPr>
        <w:t>The SORP guidelines, state that charities should recogni</w:t>
      </w:r>
      <w:r w:rsidR="00B67EF4">
        <w:rPr>
          <w:rFonts w:asciiTheme="majorHAnsi" w:eastAsia="Times New Roman" w:hAnsiTheme="majorHAnsi"/>
          <w:color w:val="auto"/>
          <w:spacing w:val="0"/>
          <w:kern w:val="0"/>
          <w:szCs w:val="24"/>
          <w:lang w:eastAsia="en-GB"/>
        </w:rPr>
        <w:t>s</w:t>
      </w:r>
      <w:r w:rsidR="00B67EF4" w:rsidRPr="00B67EF4">
        <w:rPr>
          <w:rFonts w:asciiTheme="majorHAnsi" w:eastAsia="Times New Roman" w:hAnsiTheme="majorHAnsi"/>
          <w:color w:val="auto"/>
          <w:spacing w:val="0"/>
          <w:kern w:val="0"/>
          <w:szCs w:val="24"/>
          <w:lang w:eastAsia="en-GB"/>
        </w:rPr>
        <w:t>e the income from donated goods at fair value when the goods are received, unless it is impractical to estimate the value reliably or the cost of obtaining the information outweighs the benefits. In such cases, the income should be recognised when the goods are sold.</w:t>
      </w:r>
      <w:r w:rsidR="00B94F5D">
        <w:rPr>
          <w:rFonts w:asciiTheme="majorHAnsi" w:eastAsia="Times New Roman" w:hAnsiTheme="majorHAnsi"/>
          <w:color w:val="auto"/>
          <w:spacing w:val="0"/>
          <w:kern w:val="0"/>
          <w:szCs w:val="24"/>
          <w:lang w:eastAsia="en-GB"/>
        </w:rPr>
        <w:t xml:space="preserve">  (Source ICAEW, </w:t>
      </w:r>
      <w:hyperlink r:id="rId8" w:history="1">
        <w:r w:rsidR="00B94F5D" w:rsidRPr="00B94F5D">
          <w:rPr>
            <w:rStyle w:val="Hyperlink"/>
            <w:rFonts w:asciiTheme="majorHAnsi" w:eastAsia="Times New Roman" w:hAnsiTheme="majorHAnsi"/>
            <w:spacing w:val="0"/>
            <w:kern w:val="0"/>
            <w:szCs w:val="24"/>
            <w:lang w:eastAsia="en-GB"/>
          </w:rPr>
          <w:t>Accounting for Doated Goods</w:t>
        </w:r>
      </w:hyperlink>
      <w:r w:rsidR="00B94F5D">
        <w:rPr>
          <w:rFonts w:asciiTheme="majorHAnsi" w:eastAsia="Times New Roman" w:hAnsiTheme="majorHAnsi"/>
          <w:color w:val="auto"/>
          <w:spacing w:val="0"/>
          <w:kern w:val="0"/>
          <w:szCs w:val="24"/>
          <w:lang w:eastAsia="en-GB"/>
        </w:rPr>
        <w:t>, 2015).</w:t>
      </w:r>
    </w:p>
    <w:p w14:paraId="61F90650" w14:textId="61EADBAB" w:rsidR="007006A1" w:rsidRDefault="00AE0571" w:rsidP="00B94F5D">
      <w:pPr>
        <w:spacing w:before="100" w:beforeAutospacing="1" w:after="360" w:line="276" w:lineRule="auto"/>
        <w:rPr>
          <w:rFonts w:asciiTheme="majorHAnsi" w:hAnsiTheme="majorHAnsi"/>
          <w:szCs w:val="24"/>
        </w:rPr>
      </w:pPr>
      <w:r w:rsidRPr="00AE0571">
        <w:rPr>
          <w:rFonts w:asciiTheme="majorHAnsi" w:hAnsiTheme="majorHAnsi"/>
          <w:b/>
          <w:bCs/>
          <w:color w:val="1F4E79" w:themeColor="accent5" w:themeShade="80"/>
          <w:szCs w:val="24"/>
        </w:rPr>
        <w:t>Procedures.</w:t>
      </w:r>
      <w:r w:rsidRPr="00AE0571">
        <w:rPr>
          <w:rFonts w:asciiTheme="majorHAnsi" w:hAnsiTheme="majorHAnsi"/>
          <w:color w:val="1F4E79" w:themeColor="accent5" w:themeShade="80"/>
          <w:szCs w:val="24"/>
        </w:rPr>
        <w:t xml:space="preserve">  </w:t>
      </w:r>
      <w:r w:rsidR="007006A1">
        <w:rPr>
          <w:rFonts w:asciiTheme="majorHAnsi" w:hAnsiTheme="majorHAnsi"/>
          <w:szCs w:val="24"/>
        </w:rPr>
        <w:t xml:space="preserve">We follow the procedures below in ensuring that company donations of gifts in kind are properly accounted for. </w:t>
      </w:r>
    </w:p>
    <w:p w14:paraId="60F91CE4" w14:textId="13CDC793" w:rsidR="00FD0D6F" w:rsidRPr="007006A1" w:rsidRDefault="00FD0D6F" w:rsidP="00B94F5D">
      <w:pPr>
        <w:pStyle w:val="ListParagraph"/>
        <w:numPr>
          <w:ilvl w:val="0"/>
          <w:numId w:val="67"/>
        </w:numPr>
        <w:spacing w:before="100" w:beforeAutospacing="1" w:after="360"/>
        <w:rPr>
          <w:rFonts w:asciiTheme="majorHAnsi" w:hAnsiTheme="majorHAnsi"/>
          <w:sz w:val="24"/>
          <w:szCs w:val="24"/>
        </w:rPr>
      </w:pPr>
      <w:r w:rsidRPr="007006A1">
        <w:rPr>
          <w:rFonts w:asciiTheme="majorHAnsi" w:hAnsiTheme="majorHAnsi"/>
          <w:b/>
          <w:bCs/>
          <w:color w:val="1F4E79" w:themeColor="accent5" w:themeShade="80"/>
          <w:sz w:val="24"/>
          <w:szCs w:val="24"/>
        </w:rPr>
        <w:t>Recognition:</w:t>
      </w:r>
      <w:r w:rsidRPr="007006A1">
        <w:rPr>
          <w:rFonts w:asciiTheme="majorHAnsi" w:hAnsiTheme="majorHAnsi"/>
          <w:color w:val="1F4E79" w:themeColor="accent5" w:themeShade="80"/>
          <w:sz w:val="24"/>
          <w:szCs w:val="24"/>
        </w:rPr>
        <w:t xml:space="preserve"> </w:t>
      </w:r>
      <w:r w:rsidR="007006A1">
        <w:rPr>
          <w:rFonts w:asciiTheme="majorHAnsi" w:hAnsiTheme="majorHAnsi"/>
          <w:color w:val="1F4E79" w:themeColor="accent5" w:themeShade="80"/>
          <w:sz w:val="24"/>
          <w:szCs w:val="24"/>
        </w:rPr>
        <w:t>We r</w:t>
      </w:r>
      <w:r w:rsidRPr="007006A1">
        <w:rPr>
          <w:rFonts w:asciiTheme="majorHAnsi" w:hAnsiTheme="majorHAnsi"/>
          <w:sz w:val="24"/>
          <w:szCs w:val="24"/>
        </w:rPr>
        <w:t>ecogni</w:t>
      </w:r>
      <w:r w:rsidR="007006A1">
        <w:rPr>
          <w:rFonts w:asciiTheme="majorHAnsi" w:hAnsiTheme="majorHAnsi"/>
          <w:sz w:val="24"/>
          <w:szCs w:val="24"/>
        </w:rPr>
        <w:t>s</w:t>
      </w:r>
      <w:r w:rsidRPr="007006A1">
        <w:rPr>
          <w:rFonts w:asciiTheme="majorHAnsi" w:hAnsiTheme="majorHAnsi"/>
          <w:sz w:val="24"/>
          <w:szCs w:val="24"/>
        </w:rPr>
        <w:t>e the income from gifts in kind at their fair value in the Statement of Financial Activities (SoFA).</w:t>
      </w:r>
    </w:p>
    <w:p w14:paraId="4FD62F9E" w14:textId="47800D18" w:rsidR="00FD0D6F" w:rsidRPr="007006A1" w:rsidRDefault="00FD0D6F" w:rsidP="00B94F5D">
      <w:pPr>
        <w:pStyle w:val="ListParagraph"/>
        <w:numPr>
          <w:ilvl w:val="0"/>
          <w:numId w:val="67"/>
        </w:numPr>
        <w:spacing w:before="100" w:beforeAutospacing="1" w:after="360"/>
        <w:rPr>
          <w:rFonts w:asciiTheme="majorHAnsi" w:hAnsiTheme="majorHAnsi"/>
          <w:sz w:val="24"/>
          <w:szCs w:val="24"/>
        </w:rPr>
      </w:pPr>
      <w:r w:rsidRPr="007006A1">
        <w:rPr>
          <w:rFonts w:asciiTheme="majorHAnsi" w:hAnsiTheme="majorHAnsi"/>
          <w:b/>
          <w:bCs/>
          <w:color w:val="1F4E79" w:themeColor="accent5" w:themeShade="80"/>
          <w:sz w:val="24"/>
          <w:szCs w:val="24"/>
        </w:rPr>
        <w:t>Valuation:</w:t>
      </w:r>
      <w:r w:rsidRPr="007006A1">
        <w:rPr>
          <w:rFonts w:asciiTheme="majorHAnsi" w:hAnsiTheme="majorHAnsi"/>
          <w:color w:val="1F4E79" w:themeColor="accent5" w:themeShade="80"/>
          <w:sz w:val="24"/>
          <w:szCs w:val="24"/>
        </w:rPr>
        <w:t xml:space="preserve"> </w:t>
      </w:r>
      <w:r w:rsidR="007006A1">
        <w:rPr>
          <w:rFonts w:asciiTheme="majorHAnsi" w:hAnsiTheme="majorHAnsi"/>
          <w:color w:val="1F4E79" w:themeColor="accent5" w:themeShade="80"/>
          <w:sz w:val="24"/>
          <w:szCs w:val="24"/>
        </w:rPr>
        <w:t xml:space="preserve">We use </w:t>
      </w:r>
      <w:r w:rsidRPr="007006A1">
        <w:rPr>
          <w:rFonts w:asciiTheme="majorHAnsi" w:hAnsiTheme="majorHAnsi"/>
          <w:sz w:val="24"/>
          <w:szCs w:val="24"/>
        </w:rPr>
        <w:t>the estimated market value of the donated goods or services.</w:t>
      </w:r>
    </w:p>
    <w:p w14:paraId="66EDA39A" w14:textId="6A0F093A" w:rsidR="00FD0D6F" w:rsidRPr="007006A1" w:rsidRDefault="00FD0D6F" w:rsidP="00B94F5D">
      <w:pPr>
        <w:pStyle w:val="ListParagraph"/>
        <w:numPr>
          <w:ilvl w:val="0"/>
          <w:numId w:val="67"/>
        </w:numPr>
        <w:spacing w:before="100" w:beforeAutospacing="1" w:after="360"/>
        <w:rPr>
          <w:rFonts w:asciiTheme="majorHAnsi" w:hAnsiTheme="majorHAnsi"/>
          <w:sz w:val="24"/>
          <w:szCs w:val="24"/>
        </w:rPr>
      </w:pPr>
      <w:r w:rsidRPr="007006A1">
        <w:rPr>
          <w:rFonts w:asciiTheme="majorHAnsi" w:hAnsiTheme="majorHAnsi"/>
          <w:b/>
          <w:bCs/>
          <w:color w:val="1F4E79" w:themeColor="accent5" w:themeShade="80"/>
          <w:sz w:val="24"/>
          <w:szCs w:val="24"/>
        </w:rPr>
        <w:t>Disclosure:</w:t>
      </w:r>
      <w:r w:rsidRPr="007006A1">
        <w:rPr>
          <w:rFonts w:asciiTheme="majorHAnsi" w:hAnsiTheme="majorHAnsi"/>
          <w:color w:val="1F4E79" w:themeColor="accent5" w:themeShade="80"/>
          <w:sz w:val="24"/>
          <w:szCs w:val="24"/>
        </w:rPr>
        <w:t xml:space="preserve"> </w:t>
      </w:r>
      <w:r w:rsidR="007006A1">
        <w:rPr>
          <w:rFonts w:asciiTheme="majorHAnsi" w:hAnsiTheme="majorHAnsi"/>
          <w:color w:val="1F4E79" w:themeColor="accent5" w:themeShade="80"/>
          <w:sz w:val="24"/>
          <w:szCs w:val="24"/>
        </w:rPr>
        <w:t>We c</w:t>
      </w:r>
      <w:r w:rsidRPr="007006A1">
        <w:rPr>
          <w:rFonts w:asciiTheme="majorHAnsi" w:hAnsiTheme="majorHAnsi"/>
          <w:sz w:val="24"/>
          <w:szCs w:val="24"/>
        </w:rPr>
        <w:t>learly disclose the nature and value of gifts in kind in the charity's financial statements.</w:t>
      </w:r>
    </w:p>
    <w:p w14:paraId="45AA37AB" w14:textId="5CD81133" w:rsidR="00FD0D6F" w:rsidRDefault="00FD0D6F" w:rsidP="00B94F5D">
      <w:pPr>
        <w:pStyle w:val="ListParagraph"/>
        <w:numPr>
          <w:ilvl w:val="0"/>
          <w:numId w:val="67"/>
        </w:numPr>
        <w:spacing w:before="100" w:beforeAutospacing="1" w:after="360"/>
        <w:rPr>
          <w:rFonts w:asciiTheme="majorHAnsi" w:hAnsiTheme="majorHAnsi"/>
          <w:sz w:val="24"/>
          <w:szCs w:val="24"/>
        </w:rPr>
      </w:pPr>
      <w:r w:rsidRPr="007006A1">
        <w:rPr>
          <w:rFonts w:asciiTheme="majorHAnsi" w:hAnsiTheme="majorHAnsi"/>
          <w:b/>
          <w:bCs/>
          <w:color w:val="1F4E79" w:themeColor="accent5" w:themeShade="80"/>
          <w:sz w:val="24"/>
          <w:szCs w:val="24"/>
        </w:rPr>
        <w:t>Compliance:</w:t>
      </w:r>
      <w:r w:rsidRPr="007006A1">
        <w:rPr>
          <w:rFonts w:asciiTheme="majorHAnsi" w:hAnsiTheme="majorHAnsi"/>
          <w:color w:val="1F4E79" w:themeColor="accent5" w:themeShade="80"/>
          <w:sz w:val="24"/>
          <w:szCs w:val="24"/>
        </w:rPr>
        <w:t xml:space="preserve"> </w:t>
      </w:r>
      <w:r w:rsidR="007006A1">
        <w:rPr>
          <w:rFonts w:asciiTheme="majorHAnsi" w:hAnsiTheme="majorHAnsi"/>
          <w:color w:val="1F4E79" w:themeColor="accent5" w:themeShade="80"/>
          <w:sz w:val="24"/>
          <w:szCs w:val="24"/>
        </w:rPr>
        <w:t>We f</w:t>
      </w:r>
      <w:r w:rsidRPr="007006A1">
        <w:rPr>
          <w:rFonts w:asciiTheme="majorHAnsi" w:hAnsiTheme="majorHAnsi"/>
          <w:sz w:val="24"/>
          <w:szCs w:val="24"/>
        </w:rPr>
        <w:t>ollow the Charities Statement of Recommended Practice (SORP) guidelines for accurate and transparent reporting.</w:t>
      </w:r>
    </w:p>
    <w:p w14:paraId="19BD156C" w14:textId="143EA223" w:rsidR="007006A1" w:rsidRPr="007006A1" w:rsidRDefault="007006A1" w:rsidP="00B94F5D">
      <w:pPr>
        <w:spacing w:before="100" w:beforeAutospacing="1" w:after="360" w:line="276" w:lineRule="auto"/>
        <w:rPr>
          <w:rFonts w:asciiTheme="majorHAnsi" w:hAnsiTheme="majorHAnsi"/>
          <w:szCs w:val="24"/>
        </w:rPr>
      </w:pPr>
      <w:r>
        <w:rPr>
          <w:rFonts w:asciiTheme="majorHAnsi" w:hAnsiTheme="majorHAnsi"/>
          <w:szCs w:val="24"/>
        </w:rPr>
        <w:t>Where of significant value, gifts in kind are entered in our asset register</w:t>
      </w:r>
      <w:r w:rsidR="00B360A6">
        <w:rPr>
          <w:rFonts w:asciiTheme="majorHAnsi" w:hAnsiTheme="majorHAnsi"/>
          <w:szCs w:val="24"/>
        </w:rPr>
        <w:t xml:space="preserve"> and </w:t>
      </w:r>
      <w:r>
        <w:rPr>
          <w:rFonts w:asciiTheme="majorHAnsi" w:hAnsiTheme="majorHAnsi"/>
          <w:szCs w:val="24"/>
        </w:rPr>
        <w:t>added to our insurance</w:t>
      </w:r>
      <w:r w:rsidR="00B360A6">
        <w:rPr>
          <w:rFonts w:asciiTheme="majorHAnsi" w:hAnsiTheme="majorHAnsi"/>
          <w:szCs w:val="24"/>
        </w:rPr>
        <w:t xml:space="preserve">. If </w:t>
      </w:r>
      <w:r>
        <w:rPr>
          <w:rFonts w:asciiTheme="majorHAnsi" w:hAnsiTheme="majorHAnsi"/>
          <w:szCs w:val="24"/>
        </w:rPr>
        <w:t xml:space="preserve">specific instructions on the use of or disposal of an </w:t>
      </w:r>
      <w:r w:rsidR="00B360A6">
        <w:rPr>
          <w:rFonts w:asciiTheme="majorHAnsi" w:hAnsiTheme="majorHAnsi"/>
          <w:szCs w:val="24"/>
        </w:rPr>
        <w:t>asset</w:t>
      </w:r>
      <w:r>
        <w:rPr>
          <w:rFonts w:asciiTheme="majorHAnsi" w:hAnsiTheme="majorHAnsi"/>
          <w:szCs w:val="24"/>
        </w:rPr>
        <w:t xml:space="preserve"> are required by the donor, </w:t>
      </w:r>
      <w:r w:rsidR="00B360A6">
        <w:rPr>
          <w:rFonts w:asciiTheme="majorHAnsi" w:hAnsiTheme="majorHAnsi"/>
          <w:szCs w:val="24"/>
        </w:rPr>
        <w:t xml:space="preserve">these will be complied with. </w:t>
      </w:r>
      <w:r>
        <w:rPr>
          <w:rFonts w:asciiTheme="majorHAnsi" w:hAnsiTheme="majorHAnsi"/>
          <w:szCs w:val="24"/>
        </w:rPr>
        <w:t xml:space="preserve">  </w:t>
      </w:r>
    </w:p>
    <w:p w14:paraId="7972EAD9" w14:textId="77777777" w:rsidR="004764DF" w:rsidRPr="004764DF" w:rsidRDefault="004764DF"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Disposal of Gifts in Kind</w:t>
      </w:r>
    </w:p>
    <w:p w14:paraId="48A883F6" w14:textId="4833FCF9" w:rsidR="004764DF" w:rsidRPr="004764DF" w:rsidRDefault="004764DF" w:rsidP="004764DF">
      <w:pPr>
        <w:spacing w:before="100" w:beforeAutospacing="1" w:after="360" w:line="276" w:lineRule="auto"/>
        <w:rPr>
          <w:rFonts w:asciiTheme="majorHAnsi" w:hAnsiTheme="majorHAnsi"/>
          <w:color w:val="auto"/>
          <w:szCs w:val="24"/>
        </w:rPr>
      </w:pPr>
      <w:r w:rsidRPr="004764DF">
        <w:rPr>
          <w:rFonts w:asciiTheme="majorHAnsi" w:hAnsiTheme="majorHAnsi"/>
          <w:color w:val="auto"/>
          <w:szCs w:val="24"/>
        </w:rPr>
        <w:t>We dispose of gifts in kind, either by using these in our activities, or be selling it, to maximise the value of the gift to our charity, taking into account any donor imposed restrictions.</w:t>
      </w:r>
    </w:p>
    <w:p w14:paraId="03DB5B66" w14:textId="77777777" w:rsidR="004764DF" w:rsidRPr="00D06000" w:rsidRDefault="004764DF" w:rsidP="00D06000">
      <w:pPr>
        <w:pStyle w:val="Heading2"/>
        <w:spacing w:line="276" w:lineRule="auto"/>
        <w:rPr>
          <w:rFonts w:ascii="Century Gothic" w:hAnsi="Century Gothic"/>
          <w:b/>
          <w:bCs/>
          <w:color w:val="1F4E79" w:themeColor="accent5" w:themeShade="80"/>
          <w:sz w:val="32"/>
          <w:szCs w:val="32"/>
        </w:rPr>
      </w:pPr>
      <w:r w:rsidRPr="00D06000">
        <w:rPr>
          <w:rFonts w:ascii="Century Gothic" w:hAnsi="Century Gothic"/>
          <w:b/>
          <w:bCs/>
          <w:color w:val="1F4E79" w:themeColor="accent5" w:themeShade="80"/>
          <w:sz w:val="32"/>
          <w:szCs w:val="32"/>
        </w:rPr>
        <w:t>Accounting Threshold for Gifts in Kind</w:t>
      </w:r>
    </w:p>
    <w:p w14:paraId="114E022B" w14:textId="533F21D1" w:rsidR="004764DF" w:rsidRPr="004764DF" w:rsidRDefault="004764DF" w:rsidP="004764DF">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In deciding whether, or not, to account for a donation, we </w:t>
      </w:r>
      <w:r w:rsidRPr="004764DF">
        <w:rPr>
          <w:rFonts w:asciiTheme="majorHAnsi" w:hAnsiTheme="majorHAnsi"/>
          <w:color w:val="auto"/>
          <w:szCs w:val="24"/>
        </w:rPr>
        <w:t xml:space="preserve">consider the materiality.  That is, if including it have a significant impact on your accounts to the extent it might reasonably influence the decisions of those using these, I'd account for it.  Here are </w:t>
      </w:r>
      <w:r>
        <w:rPr>
          <w:rFonts w:asciiTheme="majorHAnsi" w:hAnsiTheme="majorHAnsi"/>
          <w:color w:val="auto"/>
          <w:szCs w:val="24"/>
        </w:rPr>
        <w:t xml:space="preserve">the </w:t>
      </w:r>
      <w:r w:rsidRPr="004764DF">
        <w:rPr>
          <w:rFonts w:asciiTheme="majorHAnsi" w:hAnsiTheme="majorHAnsi"/>
          <w:color w:val="auto"/>
          <w:szCs w:val="24"/>
        </w:rPr>
        <w:t>factors</w:t>
      </w:r>
      <w:r>
        <w:rPr>
          <w:rFonts w:asciiTheme="majorHAnsi" w:hAnsiTheme="majorHAnsi"/>
          <w:color w:val="auto"/>
          <w:szCs w:val="24"/>
        </w:rPr>
        <w:t xml:space="preserve"> we </w:t>
      </w:r>
      <w:r w:rsidRPr="004764DF">
        <w:rPr>
          <w:rFonts w:asciiTheme="majorHAnsi" w:hAnsiTheme="majorHAnsi"/>
          <w:color w:val="auto"/>
          <w:szCs w:val="24"/>
        </w:rPr>
        <w:t>consider in doing so.</w:t>
      </w:r>
    </w:p>
    <w:p w14:paraId="78B5E23E" w14:textId="77777777" w:rsidR="004764DF" w:rsidRPr="004764DF" w:rsidRDefault="004764DF" w:rsidP="004764DF">
      <w:pPr>
        <w:pStyle w:val="ListParagraph"/>
        <w:numPr>
          <w:ilvl w:val="0"/>
          <w:numId w:val="67"/>
        </w:numPr>
        <w:spacing w:before="100" w:beforeAutospacing="1" w:after="360"/>
        <w:rPr>
          <w:rFonts w:asciiTheme="majorHAnsi" w:hAnsiTheme="majorHAnsi"/>
          <w:color w:val="auto"/>
          <w:sz w:val="24"/>
          <w:szCs w:val="24"/>
        </w:rPr>
      </w:pPr>
      <w:r w:rsidRPr="004764DF">
        <w:rPr>
          <w:rFonts w:asciiTheme="majorHAnsi" w:hAnsiTheme="majorHAnsi"/>
          <w:b/>
          <w:bCs/>
          <w:color w:val="1F4E79" w:themeColor="accent5" w:themeShade="80"/>
          <w:sz w:val="24"/>
          <w:szCs w:val="24"/>
        </w:rPr>
        <w:t>The size of the donation</w:t>
      </w:r>
      <w:r w:rsidRPr="004764DF">
        <w:rPr>
          <w:rFonts w:asciiTheme="majorHAnsi" w:hAnsiTheme="majorHAnsi"/>
          <w:color w:val="1F4E79" w:themeColor="accent5" w:themeShade="80"/>
          <w:sz w:val="24"/>
          <w:szCs w:val="24"/>
        </w:rPr>
        <w:t xml:space="preserve"> </w:t>
      </w:r>
      <w:r w:rsidRPr="004764DF">
        <w:rPr>
          <w:rFonts w:asciiTheme="majorHAnsi" w:hAnsiTheme="majorHAnsi"/>
          <w:color w:val="auto"/>
          <w:sz w:val="24"/>
          <w:szCs w:val="24"/>
        </w:rPr>
        <w:t>compared to your charity's total income or expenditure.</w:t>
      </w:r>
    </w:p>
    <w:p w14:paraId="63D5A5C7" w14:textId="77777777" w:rsidR="004764DF" w:rsidRPr="004764DF" w:rsidRDefault="004764DF" w:rsidP="004764DF">
      <w:pPr>
        <w:pStyle w:val="ListParagraph"/>
        <w:numPr>
          <w:ilvl w:val="0"/>
          <w:numId w:val="67"/>
        </w:numPr>
        <w:spacing w:before="100" w:beforeAutospacing="1" w:after="360"/>
        <w:rPr>
          <w:rFonts w:asciiTheme="majorHAnsi" w:hAnsiTheme="majorHAnsi"/>
          <w:color w:val="auto"/>
          <w:sz w:val="24"/>
          <w:szCs w:val="24"/>
        </w:rPr>
      </w:pPr>
      <w:r w:rsidRPr="004764DF">
        <w:rPr>
          <w:rFonts w:asciiTheme="majorHAnsi" w:hAnsiTheme="majorHAnsi"/>
          <w:b/>
          <w:bCs/>
          <w:color w:val="1F4E79" w:themeColor="accent5" w:themeShade="80"/>
          <w:sz w:val="24"/>
          <w:szCs w:val="24"/>
        </w:rPr>
        <w:lastRenderedPageBreak/>
        <w:t>The nature of the donation:</w:t>
      </w:r>
      <w:r w:rsidRPr="004764DF">
        <w:rPr>
          <w:rFonts w:asciiTheme="majorHAnsi" w:hAnsiTheme="majorHAnsi"/>
          <w:color w:val="1F4E79" w:themeColor="accent5" w:themeShade="80"/>
          <w:sz w:val="24"/>
          <w:szCs w:val="24"/>
        </w:rPr>
        <w:t xml:space="preserve"> </w:t>
      </w:r>
      <w:r w:rsidRPr="004764DF">
        <w:rPr>
          <w:rFonts w:asciiTheme="majorHAnsi" w:hAnsiTheme="majorHAnsi"/>
          <w:color w:val="auto"/>
          <w:sz w:val="24"/>
          <w:szCs w:val="24"/>
        </w:rPr>
        <w:t>Some donations, even if they are small in value, might be material due to their nature. For example, a rare or highly valuable item might be considered material regardless of its monetary value.</w:t>
      </w:r>
    </w:p>
    <w:p w14:paraId="6A8A8BE9" w14:textId="3D9DA527" w:rsidR="004764DF" w:rsidRPr="004764DF" w:rsidRDefault="004764DF" w:rsidP="004764DF">
      <w:pPr>
        <w:pStyle w:val="ListParagraph"/>
        <w:numPr>
          <w:ilvl w:val="0"/>
          <w:numId w:val="67"/>
        </w:numPr>
        <w:spacing w:before="100" w:beforeAutospacing="1" w:after="360"/>
        <w:rPr>
          <w:rFonts w:asciiTheme="majorHAnsi" w:hAnsiTheme="majorHAnsi"/>
          <w:color w:val="auto"/>
          <w:sz w:val="24"/>
          <w:szCs w:val="24"/>
        </w:rPr>
      </w:pPr>
      <w:r w:rsidRPr="004764DF">
        <w:rPr>
          <w:rFonts w:asciiTheme="majorHAnsi" w:hAnsiTheme="majorHAnsi"/>
          <w:b/>
          <w:bCs/>
          <w:color w:val="1F4E79" w:themeColor="accent5" w:themeShade="80"/>
          <w:sz w:val="24"/>
          <w:szCs w:val="24"/>
        </w:rPr>
        <w:t>The impact on financial statements:</w:t>
      </w:r>
      <w:r w:rsidRPr="004764DF">
        <w:rPr>
          <w:rFonts w:asciiTheme="majorHAnsi" w:hAnsiTheme="majorHAnsi"/>
          <w:color w:val="1F4E79" w:themeColor="accent5" w:themeShade="80"/>
          <w:sz w:val="24"/>
          <w:szCs w:val="24"/>
        </w:rPr>
        <w:t xml:space="preserve"> </w:t>
      </w:r>
      <w:r w:rsidRPr="004764DF">
        <w:rPr>
          <w:rFonts w:asciiTheme="majorHAnsi" w:hAnsiTheme="majorHAnsi"/>
          <w:color w:val="auto"/>
          <w:sz w:val="24"/>
          <w:szCs w:val="24"/>
        </w:rPr>
        <w:t>Consider whether the donation would affect the overall financial position or performance of the charity. If it would, it is likely material.</w:t>
      </w:r>
    </w:p>
    <w:p w14:paraId="602647AE" w14:textId="77777777" w:rsidR="004764DF" w:rsidRPr="004764DF" w:rsidRDefault="004764DF" w:rsidP="004764DF">
      <w:pPr>
        <w:pStyle w:val="ListParagraph"/>
        <w:numPr>
          <w:ilvl w:val="0"/>
          <w:numId w:val="67"/>
        </w:numPr>
        <w:spacing w:before="100" w:beforeAutospacing="1" w:after="360"/>
        <w:rPr>
          <w:rFonts w:asciiTheme="majorHAnsi" w:hAnsiTheme="majorHAnsi"/>
          <w:color w:val="auto"/>
          <w:sz w:val="24"/>
          <w:szCs w:val="24"/>
        </w:rPr>
      </w:pPr>
      <w:r w:rsidRPr="004764DF">
        <w:rPr>
          <w:rFonts w:asciiTheme="majorHAnsi" w:hAnsiTheme="majorHAnsi"/>
          <w:b/>
          <w:bCs/>
          <w:color w:val="1F4E79" w:themeColor="accent5" w:themeShade="80"/>
          <w:sz w:val="24"/>
          <w:szCs w:val="24"/>
        </w:rPr>
        <w:t>Review previous practices:</w:t>
      </w:r>
      <w:r w:rsidRPr="004764DF">
        <w:rPr>
          <w:rFonts w:asciiTheme="majorHAnsi" w:hAnsiTheme="majorHAnsi"/>
          <w:color w:val="1F4E79" w:themeColor="accent5" w:themeShade="80"/>
          <w:sz w:val="24"/>
          <w:szCs w:val="24"/>
        </w:rPr>
        <w:t xml:space="preserve"> </w:t>
      </w:r>
      <w:r w:rsidRPr="004764DF">
        <w:rPr>
          <w:rFonts w:asciiTheme="majorHAnsi" w:hAnsiTheme="majorHAnsi"/>
          <w:color w:val="auto"/>
          <w:sz w:val="24"/>
          <w:szCs w:val="24"/>
        </w:rPr>
        <w:t>Look at how similar donations have been treated in the past.</w:t>
      </w:r>
    </w:p>
    <w:p w14:paraId="322AF78C" w14:textId="4A09FC2C" w:rsidR="00FD0D6F" w:rsidRPr="004764DF" w:rsidRDefault="0049068D"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Regulatory Guidance</w:t>
      </w:r>
    </w:p>
    <w:p w14:paraId="22378F7F" w14:textId="74271515" w:rsidR="0049068D" w:rsidRDefault="0049068D" w:rsidP="00B94F5D">
      <w:pPr>
        <w:spacing w:before="100" w:beforeAutospacing="1" w:after="360" w:line="276" w:lineRule="auto"/>
        <w:rPr>
          <w:rFonts w:asciiTheme="majorHAnsi" w:hAnsiTheme="majorHAnsi"/>
          <w:szCs w:val="24"/>
        </w:rPr>
      </w:pPr>
      <w:r>
        <w:rPr>
          <w:rFonts w:asciiTheme="majorHAnsi" w:hAnsiTheme="majorHAnsi"/>
          <w:szCs w:val="24"/>
        </w:rPr>
        <w:t xml:space="preserve">HMRC – </w:t>
      </w:r>
      <w:hyperlink r:id="rId9" w:history="1">
        <w:r w:rsidRPr="0049068D">
          <w:rPr>
            <w:rStyle w:val="Hyperlink"/>
            <w:rFonts w:asciiTheme="majorHAnsi" w:hAnsiTheme="majorHAnsi"/>
            <w:szCs w:val="24"/>
          </w:rPr>
          <w:t>Company Tax Relief on Equipment and Stock</w:t>
        </w:r>
      </w:hyperlink>
      <w:r>
        <w:rPr>
          <w:rFonts w:asciiTheme="majorHAnsi" w:hAnsiTheme="majorHAnsi"/>
          <w:szCs w:val="24"/>
        </w:rPr>
        <w:t>.</w:t>
      </w:r>
    </w:p>
    <w:p w14:paraId="569FF917" w14:textId="043C02B2" w:rsidR="00C12002" w:rsidRPr="00C12002" w:rsidRDefault="00C12002" w:rsidP="00B94F5D">
      <w:pPr>
        <w:spacing w:before="100" w:beforeAutospacing="1" w:after="360" w:line="276" w:lineRule="auto"/>
        <w:rPr>
          <w:rFonts w:asciiTheme="majorHAnsi" w:hAnsiTheme="majorHAnsi"/>
          <w:b/>
          <w:bCs/>
          <w:szCs w:val="24"/>
        </w:rPr>
      </w:pPr>
      <w:r>
        <w:rPr>
          <w:rFonts w:asciiTheme="majorHAnsi" w:hAnsiTheme="majorHAnsi"/>
          <w:szCs w:val="24"/>
        </w:rPr>
        <w:t xml:space="preserve">Gov.UK - </w:t>
      </w:r>
      <w:hyperlink r:id="rId10" w:history="1">
        <w:r w:rsidRPr="00C12002">
          <w:rPr>
            <w:rStyle w:val="Hyperlink"/>
            <w:rFonts w:asciiTheme="majorHAnsi" w:hAnsiTheme="majorHAnsi"/>
            <w:szCs w:val="24"/>
          </w:rPr>
          <w:t>The Charities Statement of Recommended Practice (SORP).</w:t>
        </w:r>
      </w:hyperlink>
    </w:p>
    <w:p w14:paraId="07620B69" w14:textId="2038FFC1" w:rsidR="00C12002" w:rsidRPr="004764DF" w:rsidRDefault="00C12002" w:rsidP="004764DF">
      <w:pPr>
        <w:pStyle w:val="Heading2"/>
        <w:spacing w:line="276" w:lineRule="auto"/>
        <w:rPr>
          <w:rFonts w:ascii="Century Gothic" w:hAnsi="Century Gothic"/>
          <w:b/>
          <w:bCs/>
          <w:color w:val="1F4E79" w:themeColor="accent5" w:themeShade="80"/>
          <w:sz w:val="32"/>
          <w:szCs w:val="32"/>
        </w:rPr>
      </w:pPr>
      <w:r w:rsidRPr="004764DF">
        <w:rPr>
          <w:rFonts w:ascii="Century Gothic" w:hAnsi="Century Gothic"/>
          <w:b/>
          <w:bCs/>
          <w:color w:val="1F4E79" w:themeColor="accent5" w:themeShade="80"/>
          <w:sz w:val="32"/>
          <w:szCs w:val="32"/>
        </w:rPr>
        <w:t>Resources</w:t>
      </w:r>
    </w:p>
    <w:p w14:paraId="4CDEBE7D" w14:textId="54ACFCBD" w:rsidR="00C12002" w:rsidRDefault="00C12002" w:rsidP="00B94F5D">
      <w:pPr>
        <w:spacing w:before="100" w:beforeAutospacing="1" w:after="360" w:line="276" w:lineRule="auto"/>
        <w:rPr>
          <w:rStyle w:val="Hyperlink"/>
          <w:rFonts w:eastAsia="Times New Roman"/>
        </w:rPr>
      </w:pPr>
      <w:r>
        <w:rPr>
          <w:rFonts w:asciiTheme="majorHAnsi" w:hAnsiTheme="majorHAnsi"/>
          <w:szCs w:val="24"/>
        </w:rPr>
        <w:t xml:space="preserve">ICAEW - </w:t>
      </w:r>
      <w:hyperlink r:id="rId11" w:history="1">
        <w:r w:rsidRPr="00B133CA">
          <w:rPr>
            <w:rStyle w:val="Hyperlink"/>
            <w:rFonts w:eastAsia="Times New Roman"/>
          </w:rPr>
          <w:t>Accounting for donated goods</w:t>
        </w:r>
      </w:hyperlink>
      <w:r>
        <w:rPr>
          <w:rStyle w:val="Hyperlink"/>
          <w:rFonts w:eastAsia="Times New Roman"/>
        </w:rPr>
        <w:t>.</w:t>
      </w:r>
    </w:p>
    <w:p w14:paraId="4E641010" w14:textId="67082E2A" w:rsidR="004764DF" w:rsidRPr="00C12002" w:rsidRDefault="004764DF" w:rsidP="00B94F5D">
      <w:pPr>
        <w:spacing w:before="100" w:beforeAutospacing="1" w:after="360" w:line="276" w:lineRule="auto"/>
        <w:rPr>
          <w:rFonts w:eastAsia="Times New Roman"/>
        </w:rPr>
      </w:pPr>
      <w:r w:rsidRPr="004764DF">
        <w:rPr>
          <w:rFonts w:eastAsia="Times New Roman"/>
        </w:rPr>
        <w:t xml:space="preserve">CIPFA - </w:t>
      </w:r>
      <w:hyperlink r:id="rId12" w:history="1">
        <w:r w:rsidRPr="004764DF">
          <w:rPr>
            <w:rStyle w:val="Hyperlink"/>
            <w:rFonts w:eastAsia="Times New Roman"/>
          </w:rPr>
          <w:t>Materiality and the Charities SORP (2021)</w:t>
        </w:r>
      </w:hyperlink>
      <w:r w:rsidRPr="004764DF">
        <w:rPr>
          <w:rFonts w:eastAsia="Times New Roman"/>
        </w:rPr>
        <w:t>.</w:t>
      </w:r>
    </w:p>
    <w:bookmarkEnd w:id="0"/>
    <w:p w14:paraId="2D48B2A8" w14:textId="77777777" w:rsidR="00A2455D" w:rsidRPr="00952F74" w:rsidRDefault="00A2455D" w:rsidP="00B94F5D">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B94F5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B94F5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B94F5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B94F5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B94F5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B94F5D">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B94F5D">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7777777" w:rsidR="00A2455D" w:rsidRPr="00161611" w:rsidRDefault="00A2455D" w:rsidP="00B94F5D">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B94F5D">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B94F5D">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B94F5D">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B94F5D">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B94F5D">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B94F5D">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B94F5D">
            <w:pPr>
              <w:spacing w:line="276" w:lineRule="auto"/>
              <w:jc w:val="center"/>
              <w:rPr>
                <w:rFonts w:ascii="Corbel Light" w:hAnsi="Corbel Light"/>
                <w:color w:val="auto"/>
              </w:rPr>
            </w:pPr>
          </w:p>
        </w:tc>
      </w:tr>
    </w:tbl>
    <w:p w14:paraId="37728D9F" w14:textId="77777777" w:rsidR="00A2455D" w:rsidRDefault="00A2455D" w:rsidP="00B94F5D">
      <w:pPr>
        <w:spacing w:line="276" w:lineRule="auto"/>
      </w:pPr>
    </w:p>
    <w:p w14:paraId="40AFD511" w14:textId="77777777" w:rsidR="00A2455D" w:rsidRPr="006E4101" w:rsidRDefault="00A2455D" w:rsidP="00B94F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77777777" w:rsidR="00A2455D" w:rsidRDefault="00A2455D"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3"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327CE196" w14:textId="77777777" w:rsidR="004764DF" w:rsidRDefault="004764DF"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A3D5F4D" w14:textId="43118561" w:rsidR="004764DF" w:rsidRDefault="004764DF" w:rsidP="00B94F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Ethics note: this policy was partly written using AI. </w:t>
      </w:r>
    </w:p>
    <w:p w14:paraId="4B338E0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A2455D">
      <w:pPr>
        <w:rPr>
          <w:rFonts w:ascii="Century Gothic" w:eastAsia="Calibri" w:hAnsi="Century Gothic" w:cs="Calibri"/>
          <w:b/>
          <w:bCs/>
          <w:noProof/>
          <w:szCs w:val="24"/>
          <w:lang w:eastAsia="en-GB"/>
        </w:rPr>
      </w:pPr>
    </w:p>
    <w:p w14:paraId="65BA8658" w14:textId="77777777" w:rsidR="00A2455D" w:rsidRPr="008343EA" w:rsidRDefault="00A2455D" w:rsidP="00A2455D">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A2455D">
      <w:pPr>
        <w:rPr>
          <w:rStyle w:val="Hyperlink"/>
          <w:rFonts w:eastAsia="Calibri" w:cs="Calibri"/>
          <w:noProof/>
          <w:color w:val="1F4E79" w:themeColor="accent5" w:themeShade="80"/>
          <w:lang w:eastAsia="en-GB"/>
        </w:rPr>
      </w:pPr>
      <w:hyperlink r:id="rId14" w:history="1">
        <w:r w:rsidRPr="00322C33">
          <w:rPr>
            <w:rStyle w:val="Hyperlink"/>
            <w:rFonts w:eastAsia="Calibri" w:cs="Calibri"/>
            <w:noProof/>
            <w:lang w:eastAsia="en-GB"/>
          </w:rPr>
          <w:t>ian@charityexcellence.co.uk</w:t>
        </w:r>
      </w:hyperlink>
    </w:p>
    <w:p w14:paraId="60D6A0AB" w14:textId="77777777" w:rsidR="00A2455D" w:rsidRDefault="00A2455D" w:rsidP="00A2455D">
      <w:pPr>
        <w:rPr>
          <w:rStyle w:val="Hyperlink"/>
          <w:rFonts w:eastAsia="Calibri" w:cs="Calibri"/>
          <w:noProof/>
          <w:lang w:eastAsia="en-GB"/>
        </w:rPr>
      </w:pPr>
      <w:hyperlink r:id="rId15" w:history="1">
        <w:r w:rsidRPr="00322C33">
          <w:rPr>
            <w:rStyle w:val="Hyperlink"/>
            <w:rFonts w:eastAsia="Calibri" w:cs="Calibri"/>
            <w:noProof/>
            <w:lang w:eastAsia="en-GB"/>
          </w:rPr>
          <w:t>www.charityexcellence.co.uk</w:t>
        </w:r>
      </w:hyperlink>
      <w:bookmarkEnd w:id="2"/>
    </w:p>
    <w:bookmarkEnd w:id="1"/>
    <w:p w14:paraId="0CE6CBC7" w14:textId="6FD099BD" w:rsidR="00802E4A" w:rsidRPr="00322C33" w:rsidRDefault="00802E4A" w:rsidP="00A2455D">
      <w:pPr>
        <w:rPr>
          <w:rFonts w:ascii="Century Gothic" w:hAnsi="Century Gothic"/>
          <w:color w:val="1F4E79" w:themeColor="accent5" w:themeShade="80"/>
          <w:u w:val="single"/>
        </w:rPr>
      </w:pPr>
    </w:p>
    <w:sectPr w:rsidR="00802E4A" w:rsidRPr="00322C33" w:rsidSect="00BC6585">
      <w:headerReference w:type="default" r:id="rId16"/>
      <w:footerReference w:type="default" r:id="rId17"/>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0334" w14:textId="77777777" w:rsidR="007049C2" w:rsidRDefault="007049C2" w:rsidP="007916A8">
      <w:r>
        <w:separator/>
      </w:r>
    </w:p>
  </w:endnote>
  <w:endnote w:type="continuationSeparator" w:id="0">
    <w:p w14:paraId="57292AF6" w14:textId="77777777" w:rsidR="007049C2" w:rsidRDefault="007049C2"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70654786"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3" w:name="_Hlk502821659"/>
    <w:bookmarkStart w:id="4"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B67EF4">
      <w:rPr>
        <w:rFonts w:asciiTheme="majorHAnsi" w:hAnsiTheme="majorHAnsi"/>
        <w:color w:val="0B0C0C"/>
        <w:spacing w:val="0"/>
        <w:kern w:val="0"/>
        <w:sz w:val="22"/>
        <w:szCs w:val="22"/>
        <w:shd w:val="clear" w:color="auto" w:fill="FFFFFF"/>
        <w14:ligatures w14:val="standardContextual"/>
      </w:rPr>
      <w:t>5</w:t>
    </w:r>
    <w:bookmarkEnd w:id="3"/>
    <w:bookmarkEnd w:id="4"/>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7C02" w14:textId="77777777" w:rsidR="007049C2" w:rsidRDefault="007049C2" w:rsidP="007916A8">
      <w:r>
        <w:separator/>
      </w:r>
    </w:p>
  </w:footnote>
  <w:footnote w:type="continuationSeparator" w:id="0">
    <w:p w14:paraId="0A7035E4" w14:textId="77777777" w:rsidR="007049C2" w:rsidRDefault="007049C2"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C539F"/>
    <w:multiLevelType w:val="multilevel"/>
    <w:tmpl w:val="94B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7175C9"/>
    <w:multiLevelType w:val="hybridMultilevel"/>
    <w:tmpl w:val="E24A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7218"/>
    <w:multiLevelType w:val="hybridMultilevel"/>
    <w:tmpl w:val="A66C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E359D5"/>
    <w:multiLevelType w:val="multilevel"/>
    <w:tmpl w:val="0D3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4"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F4417A"/>
    <w:multiLevelType w:val="hybridMultilevel"/>
    <w:tmpl w:val="4D6E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5B461E"/>
    <w:multiLevelType w:val="multilevel"/>
    <w:tmpl w:val="4706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2337F3"/>
    <w:multiLevelType w:val="multilevel"/>
    <w:tmpl w:val="3F20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31C25DF"/>
    <w:multiLevelType w:val="multilevel"/>
    <w:tmpl w:val="274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2A5AB1"/>
    <w:multiLevelType w:val="hybridMultilevel"/>
    <w:tmpl w:val="0AD8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4865B2"/>
    <w:multiLevelType w:val="hybridMultilevel"/>
    <w:tmpl w:val="3268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D43C3A"/>
    <w:multiLevelType w:val="hybridMultilevel"/>
    <w:tmpl w:val="818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44F4D37"/>
    <w:multiLevelType w:val="multilevel"/>
    <w:tmpl w:val="DAA6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4"/>
  </w:num>
  <w:num w:numId="2" w16cid:durableId="313460090">
    <w:abstractNumId w:val="23"/>
  </w:num>
  <w:num w:numId="3" w16cid:durableId="2136285670">
    <w:abstractNumId w:val="28"/>
  </w:num>
  <w:num w:numId="4" w16cid:durableId="1934704107">
    <w:abstractNumId w:val="61"/>
  </w:num>
  <w:num w:numId="5" w16cid:durableId="1181578704">
    <w:abstractNumId w:val="25"/>
  </w:num>
  <w:num w:numId="6" w16cid:durableId="1331635257">
    <w:abstractNumId w:val="37"/>
  </w:num>
  <w:num w:numId="7" w16cid:durableId="1468814416">
    <w:abstractNumId w:val="27"/>
  </w:num>
  <w:num w:numId="8" w16cid:durableId="251549325">
    <w:abstractNumId w:val="55"/>
  </w:num>
  <w:num w:numId="9" w16cid:durableId="200899761">
    <w:abstractNumId w:val="29"/>
  </w:num>
  <w:num w:numId="10" w16cid:durableId="1878393269">
    <w:abstractNumId w:val="49"/>
  </w:num>
  <w:num w:numId="11" w16cid:durableId="1660575661">
    <w:abstractNumId w:val="50"/>
  </w:num>
  <w:num w:numId="12" w16cid:durableId="1818834001">
    <w:abstractNumId w:val="6"/>
  </w:num>
  <w:num w:numId="13" w16cid:durableId="1129516877">
    <w:abstractNumId w:val="19"/>
  </w:num>
  <w:num w:numId="14" w16cid:durableId="1410618880">
    <w:abstractNumId w:val="56"/>
  </w:num>
  <w:num w:numId="15" w16cid:durableId="35665379">
    <w:abstractNumId w:val="30"/>
  </w:num>
  <w:num w:numId="16" w16cid:durableId="1400519321">
    <w:abstractNumId w:val="10"/>
  </w:num>
  <w:num w:numId="17" w16cid:durableId="329256783">
    <w:abstractNumId w:val="2"/>
  </w:num>
  <w:num w:numId="18" w16cid:durableId="592589935">
    <w:abstractNumId w:val="64"/>
  </w:num>
  <w:num w:numId="19" w16cid:durableId="447940408">
    <w:abstractNumId w:val="67"/>
  </w:num>
  <w:num w:numId="20" w16cid:durableId="1446847769">
    <w:abstractNumId w:val="33"/>
  </w:num>
  <w:num w:numId="21" w16cid:durableId="188759473">
    <w:abstractNumId w:val="66"/>
  </w:num>
  <w:num w:numId="22" w16cid:durableId="2033334681">
    <w:abstractNumId w:val="38"/>
  </w:num>
  <w:num w:numId="23" w16cid:durableId="1774353327">
    <w:abstractNumId w:val="5"/>
  </w:num>
  <w:num w:numId="24" w16cid:durableId="822938562">
    <w:abstractNumId w:val="15"/>
  </w:num>
  <w:num w:numId="25" w16cid:durableId="1371296527">
    <w:abstractNumId w:val="39"/>
  </w:num>
  <w:num w:numId="26" w16cid:durableId="1424302577">
    <w:abstractNumId w:val="57"/>
  </w:num>
  <w:num w:numId="27" w16cid:durableId="922884472">
    <w:abstractNumId w:val="35"/>
  </w:num>
  <w:num w:numId="28" w16cid:durableId="171378338">
    <w:abstractNumId w:val="16"/>
  </w:num>
  <w:num w:numId="29" w16cid:durableId="1223326248">
    <w:abstractNumId w:val="8"/>
  </w:num>
  <w:num w:numId="30" w16cid:durableId="404106874">
    <w:abstractNumId w:val="7"/>
  </w:num>
  <w:num w:numId="31" w16cid:durableId="862744642">
    <w:abstractNumId w:val="51"/>
  </w:num>
  <w:num w:numId="32" w16cid:durableId="70740090">
    <w:abstractNumId w:val="40"/>
  </w:num>
  <w:num w:numId="33" w16cid:durableId="673843271">
    <w:abstractNumId w:val="25"/>
  </w:num>
  <w:num w:numId="34" w16cid:durableId="1425884309">
    <w:abstractNumId w:val="17"/>
  </w:num>
  <w:num w:numId="35" w16cid:durableId="1283994821">
    <w:abstractNumId w:val="11"/>
  </w:num>
  <w:num w:numId="36" w16cid:durableId="1686247198">
    <w:abstractNumId w:val="43"/>
  </w:num>
  <w:num w:numId="37" w16cid:durableId="147988612">
    <w:abstractNumId w:val="60"/>
  </w:num>
  <w:num w:numId="38" w16cid:durableId="1224760112">
    <w:abstractNumId w:val="12"/>
  </w:num>
  <w:num w:numId="39" w16cid:durableId="680551251">
    <w:abstractNumId w:val="14"/>
  </w:num>
  <w:num w:numId="40" w16cid:durableId="1060445289">
    <w:abstractNumId w:val="9"/>
  </w:num>
  <w:num w:numId="41" w16cid:durableId="1610359512">
    <w:abstractNumId w:val="1"/>
  </w:num>
  <w:num w:numId="42" w16cid:durableId="911046048">
    <w:abstractNumId w:val="45"/>
  </w:num>
  <w:num w:numId="43" w16cid:durableId="1617173273">
    <w:abstractNumId w:val="13"/>
  </w:num>
  <w:num w:numId="44" w16cid:durableId="779420974">
    <w:abstractNumId w:val="34"/>
  </w:num>
  <w:num w:numId="45" w16cid:durableId="849753665">
    <w:abstractNumId w:val="63"/>
  </w:num>
  <w:num w:numId="46" w16cid:durableId="336812507">
    <w:abstractNumId w:val="24"/>
  </w:num>
  <w:num w:numId="47" w16cid:durableId="402146827">
    <w:abstractNumId w:val="53"/>
  </w:num>
  <w:num w:numId="48" w16cid:durableId="742024560">
    <w:abstractNumId w:val="32"/>
  </w:num>
  <w:num w:numId="49" w16cid:durableId="1265461881">
    <w:abstractNumId w:val="54"/>
  </w:num>
  <w:num w:numId="50" w16cid:durableId="926963512">
    <w:abstractNumId w:val="36"/>
  </w:num>
  <w:num w:numId="51" w16cid:durableId="732629275">
    <w:abstractNumId w:val="65"/>
  </w:num>
  <w:num w:numId="52" w16cid:durableId="1580677769">
    <w:abstractNumId w:val="42"/>
  </w:num>
  <w:num w:numId="53" w16cid:durableId="1921285150">
    <w:abstractNumId w:val="47"/>
  </w:num>
  <w:num w:numId="54" w16cid:durableId="308677147">
    <w:abstractNumId w:val="46"/>
  </w:num>
  <w:num w:numId="55" w16cid:durableId="434447818">
    <w:abstractNumId w:val="52"/>
  </w:num>
  <w:num w:numId="56" w16cid:durableId="1368019692">
    <w:abstractNumId w:val="0"/>
  </w:num>
  <w:num w:numId="57" w16cid:durableId="1714184926">
    <w:abstractNumId w:val="18"/>
  </w:num>
  <w:num w:numId="58" w16cid:durableId="1571961688">
    <w:abstractNumId w:val="3"/>
  </w:num>
  <w:num w:numId="59" w16cid:durableId="790586413">
    <w:abstractNumId w:val="41"/>
  </w:num>
  <w:num w:numId="60" w16cid:durableId="1207108045">
    <w:abstractNumId w:val="44"/>
  </w:num>
  <w:num w:numId="61" w16cid:durableId="1709990834">
    <w:abstractNumId w:val="31"/>
  </w:num>
  <w:num w:numId="62" w16cid:durableId="1504591829">
    <w:abstractNumId w:val="62"/>
  </w:num>
  <w:num w:numId="63" w16cid:durableId="590312330">
    <w:abstractNumId w:val="48"/>
  </w:num>
  <w:num w:numId="64" w16cid:durableId="524170466">
    <w:abstractNumId w:val="58"/>
  </w:num>
  <w:num w:numId="65" w16cid:durableId="799491100">
    <w:abstractNumId w:val="20"/>
  </w:num>
  <w:num w:numId="66" w16cid:durableId="589658407">
    <w:abstractNumId w:val="21"/>
  </w:num>
  <w:num w:numId="67" w16cid:durableId="1539659173">
    <w:abstractNumId w:val="59"/>
  </w:num>
  <w:num w:numId="68" w16cid:durableId="189147746">
    <w:abstractNumId w:val="26"/>
  </w:num>
  <w:num w:numId="69" w16cid:durableId="26072821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5525"/>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368D"/>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108C"/>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0C56"/>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293A"/>
    <w:rsid w:val="003B316B"/>
    <w:rsid w:val="003B33BD"/>
    <w:rsid w:val="003B4DCF"/>
    <w:rsid w:val="003B54E2"/>
    <w:rsid w:val="003B6AFF"/>
    <w:rsid w:val="003B7506"/>
    <w:rsid w:val="003C11DC"/>
    <w:rsid w:val="003E36E9"/>
    <w:rsid w:val="003E5CE3"/>
    <w:rsid w:val="003E635B"/>
    <w:rsid w:val="003E70F4"/>
    <w:rsid w:val="003E7E1C"/>
    <w:rsid w:val="003F43A9"/>
    <w:rsid w:val="003F586B"/>
    <w:rsid w:val="00401CD0"/>
    <w:rsid w:val="004027AD"/>
    <w:rsid w:val="00402F33"/>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764DF"/>
    <w:rsid w:val="00482E50"/>
    <w:rsid w:val="00484749"/>
    <w:rsid w:val="00484EB0"/>
    <w:rsid w:val="00486284"/>
    <w:rsid w:val="00486A9D"/>
    <w:rsid w:val="0049068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3726"/>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D7CC3"/>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42FEA"/>
    <w:rsid w:val="00652069"/>
    <w:rsid w:val="00652D43"/>
    <w:rsid w:val="00653132"/>
    <w:rsid w:val="006543A5"/>
    <w:rsid w:val="00656C48"/>
    <w:rsid w:val="00656DEA"/>
    <w:rsid w:val="00663FAD"/>
    <w:rsid w:val="00667159"/>
    <w:rsid w:val="00674268"/>
    <w:rsid w:val="006838A4"/>
    <w:rsid w:val="00690BBD"/>
    <w:rsid w:val="0069175A"/>
    <w:rsid w:val="00692163"/>
    <w:rsid w:val="006934ED"/>
    <w:rsid w:val="006A0CB2"/>
    <w:rsid w:val="006A2129"/>
    <w:rsid w:val="006A29B1"/>
    <w:rsid w:val="006A5C42"/>
    <w:rsid w:val="006B0125"/>
    <w:rsid w:val="006B53C3"/>
    <w:rsid w:val="006B6512"/>
    <w:rsid w:val="006B7F81"/>
    <w:rsid w:val="006C180C"/>
    <w:rsid w:val="006D0170"/>
    <w:rsid w:val="006D032B"/>
    <w:rsid w:val="006D44B4"/>
    <w:rsid w:val="006E120E"/>
    <w:rsid w:val="006E29AB"/>
    <w:rsid w:val="006E2BB6"/>
    <w:rsid w:val="006E3887"/>
    <w:rsid w:val="006F1AB2"/>
    <w:rsid w:val="006F2394"/>
    <w:rsid w:val="006F2A0C"/>
    <w:rsid w:val="006F3202"/>
    <w:rsid w:val="007006A1"/>
    <w:rsid w:val="007008CD"/>
    <w:rsid w:val="007049C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4F7D"/>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508"/>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2F89"/>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D96"/>
    <w:rsid w:val="008D2D71"/>
    <w:rsid w:val="008D5359"/>
    <w:rsid w:val="008D57C6"/>
    <w:rsid w:val="008D707C"/>
    <w:rsid w:val="008E69DF"/>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0571"/>
    <w:rsid w:val="00AE1BFC"/>
    <w:rsid w:val="00AE3638"/>
    <w:rsid w:val="00AE428C"/>
    <w:rsid w:val="00AF2919"/>
    <w:rsid w:val="00AF2F91"/>
    <w:rsid w:val="00B014E3"/>
    <w:rsid w:val="00B01501"/>
    <w:rsid w:val="00B022AC"/>
    <w:rsid w:val="00B133CA"/>
    <w:rsid w:val="00B146ED"/>
    <w:rsid w:val="00B1703C"/>
    <w:rsid w:val="00B21C85"/>
    <w:rsid w:val="00B22130"/>
    <w:rsid w:val="00B257C5"/>
    <w:rsid w:val="00B265AF"/>
    <w:rsid w:val="00B26CE9"/>
    <w:rsid w:val="00B31B04"/>
    <w:rsid w:val="00B3203E"/>
    <w:rsid w:val="00B33FBB"/>
    <w:rsid w:val="00B35D85"/>
    <w:rsid w:val="00B360A6"/>
    <w:rsid w:val="00B3686B"/>
    <w:rsid w:val="00B44523"/>
    <w:rsid w:val="00B464BB"/>
    <w:rsid w:val="00B50C53"/>
    <w:rsid w:val="00B55BFB"/>
    <w:rsid w:val="00B5711F"/>
    <w:rsid w:val="00B60C3D"/>
    <w:rsid w:val="00B62440"/>
    <w:rsid w:val="00B632FC"/>
    <w:rsid w:val="00B674BA"/>
    <w:rsid w:val="00B67995"/>
    <w:rsid w:val="00B67EF4"/>
    <w:rsid w:val="00B75E7B"/>
    <w:rsid w:val="00B767CF"/>
    <w:rsid w:val="00B77F05"/>
    <w:rsid w:val="00B84674"/>
    <w:rsid w:val="00B8476F"/>
    <w:rsid w:val="00B853D1"/>
    <w:rsid w:val="00B86F17"/>
    <w:rsid w:val="00B87502"/>
    <w:rsid w:val="00B87FD2"/>
    <w:rsid w:val="00B94F5D"/>
    <w:rsid w:val="00B95B96"/>
    <w:rsid w:val="00BA5242"/>
    <w:rsid w:val="00BA6AF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2002"/>
    <w:rsid w:val="00C157C5"/>
    <w:rsid w:val="00C158F2"/>
    <w:rsid w:val="00C17ED0"/>
    <w:rsid w:val="00C21239"/>
    <w:rsid w:val="00C21762"/>
    <w:rsid w:val="00C27C60"/>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6000"/>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2CEF"/>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929"/>
    <w:rsid w:val="00EE1F8A"/>
    <w:rsid w:val="00EE2E64"/>
    <w:rsid w:val="00EE3585"/>
    <w:rsid w:val="00EE369E"/>
    <w:rsid w:val="00EE39A5"/>
    <w:rsid w:val="00EF0706"/>
    <w:rsid w:val="00EF5E68"/>
    <w:rsid w:val="00EF7411"/>
    <w:rsid w:val="00F005DF"/>
    <w:rsid w:val="00F00A12"/>
    <w:rsid w:val="00F01C29"/>
    <w:rsid w:val="00F02C11"/>
    <w:rsid w:val="00F12ACA"/>
    <w:rsid w:val="00F12EB2"/>
    <w:rsid w:val="00F14F03"/>
    <w:rsid w:val="00F1560E"/>
    <w:rsid w:val="00F1585E"/>
    <w:rsid w:val="00F17778"/>
    <w:rsid w:val="00F20744"/>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3EB4"/>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0B7A"/>
    <w:rsid w:val="00FC11C5"/>
    <w:rsid w:val="00FC4C85"/>
    <w:rsid w:val="00FD0D6F"/>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97145132">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06551">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0256723">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35626705">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574318390">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30131">
      <w:bodyDiv w:val="1"/>
      <w:marLeft w:val="0"/>
      <w:marRight w:val="0"/>
      <w:marTop w:val="0"/>
      <w:marBottom w:val="0"/>
      <w:divBdr>
        <w:top w:val="none" w:sz="0" w:space="0" w:color="auto"/>
        <w:left w:val="none" w:sz="0" w:space="0" w:color="auto"/>
        <w:bottom w:val="none" w:sz="0" w:space="0" w:color="auto"/>
        <w:right w:val="none" w:sz="0" w:space="0" w:color="auto"/>
      </w:divBdr>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59606865">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56597292">
      <w:bodyDiv w:val="1"/>
      <w:marLeft w:val="0"/>
      <w:marRight w:val="0"/>
      <w:marTop w:val="0"/>
      <w:marBottom w:val="0"/>
      <w:divBdr>
        <w:top w:val="none" w:sz="0" w:space="0" w:color="auto"/>
        <w:left w:val="none" w:sz="0" w:space="0" w:color="auto"/>
        <w:bottom w:val="none" w:sz="0" w:space="0" w:color="auto"/>
        <w:right w:val="none" w:sz="0" w:space="0" w:color="auto"/>
      </w:divBdr>
    </w:div>
    <w:div w:id="1287737976">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4112713">
      <w:bodyDiv w:val="1"/>
      <w:marLeft w:val="0"/>
      <w:marRight w:val="0"/>
      <w:marTop w:val="0"/>
      <w:marBottom w:val="0"/>
      <w:divBdr>
        <w:top w:val="none" w:sz="0" w:space="0" w:color="auto"/>
        <w:left w:val="none" w:sz="0" w:space="0" w:color="auto"/>
        <w:bottom w:val="none" w:sz="0" w:space="0" w:color="auto"/>
        <w:right w:val="none" w:sz="0" w:space="0" w:color="auto"/>
      </w:divBdr>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30719115">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ew.com/technical/charity-community/resources/accounting-and-reporting/accounting-for-donated-goods" TargetMode="External"/><Relationship Id="rId13" Type="http://schemas.openxmlformats.org/officeDocument/2006/relationships/hyperlink" Target="https://www.charityexcellence.co.uk/free-charity-help-find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ritysorp.org/documents/23956307/23964541/cipfa-briefing-paper-on-materiality-fin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technical/charity-community/resources/accounting-and-reporting/accounting-for-donated-goods?form=MG0AV3" TargetMode="External"/><Relationship Id="rId5" Type="http://schemas.openxmlformats.org/officeDocument/2006/relationships/webSettings" Target="webSettings.xml"/><Relationship Id="rId15" Type="http://schemas.openxmlformats.org/officeDocument/2006/relationships/hyperlink" Target="http://www.charityexcellence.co.uk" TargetMode="External"/><Relationship Id="rId10" Type="http://schemas.openxmlformats.org/officeDocument/2006/relationships/hyperlink" Target="https://www.gov.uk/government/publications/charities-sorp-20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tax-limited-company-gives-to-charity/equipment-and-trading-stock" TargetMode="External"/><Relationship Id="rId14" Type="http://schemas.openxmlformats.org/officeDocument/2006/relationships/hyperlink" Target="mailto:ian@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cp:lastPrinted>2023-03-02T08:46:00Z</cp:lastPrinted>
  <dcterms:created xsi:type="dcterms:W3CDTF">2025-01-19T09:12:00Z</dcterms:created>
  <dcterms:modified xsi:type="dcterms:W3CDTF">2025-01-19T10:17:00Z</dcterms:modified>
</cp:coreProperties>
</file>