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3B03AA26" w:rsidR="001832CF" w:rsidRDefault="00C73535" w:rsidP="00523525">
      <w:pPr>
        <w:pStyle w:val="Alumna"/>
        <w:rPr>
          <w:rFonts w:eastAsia="Times New Roman"/>
          <w:color w:val="auto"/>
          <w:spacing w:val="0"/>
          <w:kern w:val="0"/>
          <w:szCs w:val="24"/>
          <w:lang w:eastAsia="en-GB"/>
        </w:rPr>
      </w:pPr>
      <w:r>
        <w:rPr>
          <w:b/>
          <w:bCs/>
          <w:color w:val="1F4E79" w:themeColor="accent5" w:themeShade="80"/>
          <w:spacing w:val="0"/>
          <w:kern w:val="0"/>
        </w:rPr>
        <w:t xml:space="preserve">Pay </w:t>
      </w:r>
      <w:r w:rsidR="00EF58D2">
        <w:rPr>
          <w:b/>
          <w:bCs/>
          <w:color w:val="1F4E79" w:themeColor="accent5" w:themeShade="80"/>
          <w:spacing w:val="0"/>
          <w:kern w:val="0"/>
        </w:rPr>
        <w:t>Policy</w:t>
      </w:r>
      <w:bookmarkStart w:id="0" w:name="_Hlk39645958"/>
    </w:p>
    <w:p w14:paraId="789AFE56" w14:textId="7837005C" w:rsidR="00BF3578" w:rsidRDefault="00BF3578" w:rsidP="00EF58D2">
      <w:pPr>
        <w:spacing w:before="100" w:beforeAutospacing="1" w:after="360"/>
        <w:rPr>
          <w:rFonts w:ascii="Century Gothic" w:hAnsi="Century Gothic"/>
          <w:b/>
          <w:bCs/>
          <w:color w:val="1F4E79" w:themeColor="accent5" w:themeShade="80"/>
          <w:sz w:val="28"/>
          <w:szCs w:val="28"/>
        </w:rPr>
      </w:pPr>
      <w:r w:rsidRPr="00BF3578">
        <w:rPr>
          <w:rFonts w:ascii="Century Gothic" w:hAnsi="Century Gothic"/>
          <w:b/>
          <w:bCs/>
          <w:color w:val="1F4E79" w:themeColor="accent5" w:themeShade="80"/>
          <w:sz w:val="28"/>
          <w:szCs w:val="28"/>
          <w:highlight w:val="yellow"/>
        </w:rPr>
        <w:t xml:space="preserve">Preamble.  There </w:t>
      </w:r>
      <w:r w:rsidRPr="00327A52">
        <w:rPr>
          <w:rFonts w:ascii="Century Gothic" w:hAnsi="Century Gothic"/>
          <w:b/>
          <w:bCs/>
          <w:color w:val="1F4E79" w:themeColor="accent5" w:themeShade="80"/>
          <w:sz w:val="28"/>
          <w:szCs w:val="28"/>
          <w:highlight w:val="yellow"/>
        </w:rPr>
        <w:t xml:space="preserve">are a number of very different ways to in which to manage pay and remuneration.  This pay policy is fairly simple and lays out aims, principles and processes that can be adopted and amended by any charity.  You should include your agreed rates of other types of pay within the relevant section below.  For example, sick, </w:t>
      </w:r>
      <w:r w:rsidR="00294D02">
        <w:rPr>
          <w:rFonts w:ascii="Century Gothic" w:hAnsi="Century Gothic"/>
          <w:b/>
          <w:bCs/>
          <w:color w:val="1F4E79" w:themeColor="accent5" w:themeShade="80"/>
          <w:sz w:val="28"/>
          <w:szCs w:val="28"/>
          <w:highlight w:val="yellow"/>
        </w:rPr>
        <w:t xml:space="preserve">holiday, </w:t>
      </w:r>
      <w:r w:rsidRPr="00327A52">
        <w:rPr>
          <w:rFonts w:ascii="Century Gothic" w:hAnsi="Century Gothic"/>
          <w:b/>
          <w:bCs/>
          <w:color w:val="1F4E79" w:themeColor="accent5" w:themeShade="80"/>
          <w:sz w:val="28"/>
          <w:szCs w:val="28"/>
          <w:highlight w:val="yellow"/>
        </w:rPr>
        <w:t>maternity and paternity pay.</w:t>
      </w:r>
      <w:r>
        <w:rPr>
          <w:rFonts w:ascii="Century Gothic" w:hAnsi="Century Gothic"/>
          <w:b/>
          <w:bCs/>
          <w:color w:val="1F4E79" w:themeColor="accent5" w:themeShade="80"/>
          <w:sz w:val="28"/>
          <w:szCs w:val="28"/>
        </w:rPr>
        <w:t xml:space="preserve">     </w:t>
      </w:r>
    </w:p>
    <w:p w14:paraId="6F58CC86" w14:textId="7115BD55" w:rsidR="00BC735F" w:rsidRDefault="00C73535" w:rsidP="00EF58D2">
      <w:pPr>
        <w:spacing w:before="100" w:beforeAutospacing="1" w:after="360"/>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Aim</w:t>
      </w:r>
      <w:r w:rsidR="00294D02">
        <w:rPr>
          <w:rFonts w:ascii="Century Gothic" w:hAnsi="Century Gothic"/>
          <w:b/>
          <w:bCs/>
          <w:color w:val="1F4E79" w:themeColor="accent5" w:themeShade="80"/>
          <w:sz w:val="28"/>
          <w:szCs w:val="28"/>
        </w:rPr>
        <w:t>s</w:t>
      </w:r>
    </w:p>
    <w:p w14:paraId="14D4DF2A" w14:textId="4DD4B124" w:rsidR="00B405DF" w:rsidRPr="00BF3578" w:rsidRDefault="00B405DF" w:rsidP="00B405DF">
      <w:pPr>
        <w:rPr>
          <w:rFonts w:asciiTheme="majorHAnsi" w:hAnsiTheme="majorHAnsi"/>
          <w:color w:val="auto"/>
        </w:rPr>
      </w:pPr>
      <w:r w:rsidRPr="00BF3578">
        <w:rPr>
          <w:rFonts w:asciiTheme="majorHAnsi" w:hAnsiTheme="majorHAnsi"/>
          <w:color w:val="auto"/>
        </w:rPr>
        <w:t>The aims of this policy are to:</w:t>
      </w:r>
    </w:p>
    <w:p w14:paraId="45821A03" w14:textId="77777777" w:rsidR="00B405DF" w:rsidRPr="00BF3578" w:rsidRDefault="00B405DF" w:rsidP="00B405DF">
      <w:pPr>
        <w:rPr>
          <w:rFonts w:asciiTheme="majorHAnsi" w:hAnsiTheme="majorHAnsi"/>
          <w:color w:val="auto"/>
        </w:rPr>
      </w:pPr>
    </w:p>
    <w:p w14:paraId="2B2CB112" w14:textId="34177CE7" w:rsidR="00B405DF" w:rsidRPr="00BF3578" w:rsidRDefault="00B405DF" w:rsidP="00B405DF">
      <w:pPr>
        <w:numPr>
          <w:ilvl w:val="0"/>
          <w:numId w:val="45"/>
        </w:numPr>
        <w:rPr>
          <w:rFonts w:asciiTheme="majorHAnsi" w:hAnsiTheme="majorHAnsi"/>
          <w:color w:val="auto"/>
        </w:rPr>
      </w:pPr>
      <w:r w:rsidRPr="00BF3578">
        <w:rPr>
          <w:rFonts w:asciiTheme="majorHAnsi" w:hAnsiTheme="majorHAnsi"/>
          <w:color w:val="auto"/>
        </w:rPr>
        <w:t xml:space="preserve">Attract and retain high calibre staff. </w:t>
      </w:r>
    </w:p>
    <w:p w14:paraId="6C91BA0E" w14:textId="098A097E" w:rsidR="00B405DF" w:rsidRPr="00BF3578" w:rsidRDefault="00B405DF" w:rsidP="00B405DF">
      <w:pPr>
        <w:numPr>
          <w:ilvl w:val="0"/>
          <w:numId w:val="45"/>
        </w:numPr>
        <w:rPr>
          <w:rFonts w:asciiTheme="majorHAnsi" w:hAnsiTheme="majorHAnsi"/>
          <w:color w:val="auto"/>
        </w:rPr>
      </w:pPr>
      <w:r w:rsidRPr="00BF3578">
        <w:rPr>
          <w:rFonts w:asciiTheme="majorHAnsi" w:hAnsiTheme="majorHAnsi"/>
          <w:color w:val="auto"/>
        </w:rPr>
        <w:t xml:space="preserve">Pay staff a fair wage in recognition of the work that they do in supporting our work. </w:t>
      </w:r>
    </w:p>
    <w:p w14:paraId="1B62FA9A" w14:textId="6F6892D7" w:rsidR="007427AA" w:rsidRPr="007427AA" w:rsidRDefault="00B405DF" w:rsidP="007427AA">
      <w:pPr>
        <w:numPr>
          <w:ilvl w:val="0"/>
          <w:numId w:val="45"/>
        </w:numPr>
        <w:rPr>
          <w:rFonts w:asciiTheme="majorHAnsi" w:hAnsiTheme="majorHAnsi"/>
          <w:color w:val="auto"/>
        </w:rPr>
      </w:pPr>
      <w:r w:rsidRPr="00BF3578">
        <w:rPr>
          <w:rFonts w:asciiTheme="majorHAnsi" w:hAnsiTheme="majorHAnsi"/>
          <w:color w:val="auto"/>
        </w:rPr>
        <w:t xml:space="preserve">Ensure transparency and fairness </w:t>
      </w:r>
      <w:r w:rsidR="00C73535" w:rsidRPr="00BF3578">
        <w:rPr>
          <w:rFonts w:asciiTheme="majorHAnsi" w:hAnsiTheme="majorHAnsi"/>
          <w:color w:val="auto"/>
        </w:rPr>
        <w:t xml:space="preserve">in </w:t>
      </w:r>
      <w:r w:rsidRPr="00BF3578">
        <w:rPr>
          <w:rFonts w:asciiTheme="majorHAnsi" w:hAnsiTheme="majorHAnsi"/>
          <w:color w:val="auto"/>
        </w:rPr>
        <w:t xml:space="preserve">salary setting.  </w:t>
      </w:r>
    </w:p>
    <w:p w14:paraId="5B6ACF96" w14:textId="78842092" w:rsidR="00C73535" w:rsidRPr="00C73535" w:rsidRDefault="00C73535" w:rsidP="00C73535">
      <w:pPr>
        <w:spacing w:before="100" w:beforeAutospacing="1" w:after="360"/>
        <w:rPr>
          <w:rFonts w:ascii="Century Gothic" w:hAnsi="Century Gothic"/>
          <w:b/>
          <w:bCs/>
          <w:color w:val="1F4E79" w:themeColor="accent5" w:themeShade="80"/>
          <w:sz w:val="28"/>
          <w:szCs w:val="28"/>
        </w:rPr>
      </w:pPr>
      <w:r w:rsidRPr="00C73535">
        <w:rPr>
          <w:rFonts w:ascii="Century Gothic" w:hAnsi="Century Gothic"/>
          <w:b/>
          <w:bCs/>
          <w:color w:val="1F4E79" w:themeColor="accent5" w:themeShade="80"/>
          <w:sz w:val="28"/>
          <w:szCs w:val="28"/>
        </w:rPr>
        <w:t>Principles</w:t>
      </w:r>
    </w:p>
    <w:p w14:paraId="473AF0BD" w14:textId="1A0E8544" w:rsidR="00B405DF" w:rsidRPr="00BF3578" w:rsidRDefault="00F2094B" w:rsidP="00B405DF">
      <w:pPr>
        <w:rPr>
          <w:rFonts w:asciiTheme="majorHAnsi" w:hAnsiTheme="majorHAnsi"/>
          <w:color w:val="auto"/>
        </w:rPr>
      </w:pPr>
      <w:r w:rsidRPr="00BF3578">
        <w:rPr>
          <w:rFonts w:asciiTheme="majorHAnsi" w:hAnsiTheme="majorHAnsi"/>
          <w:color w:val="auto"/>
        </w:rPr>
        <w:t xml:space="preserve">We will aim to always deliver value for money for our donors who fund our work and any increase will be subject to an affordability test to ensure the ongoing financial viability of our charity. </w:t>
      </w:r>
      <w:r w:rsidR="00B405DF" w:rsidRPr="00BF3578">
        <w:rPr>
          <w:rFonts w:asciiTheme="majorHAnsi" w:hAnsiTheme="majorHAnsi"/>
          <w:color w:val="auto"/>
        </w:rPr>
        <w:t>In order to achieve this, we will seek to:</w:t>
      </w:r>
    </w:p>
    <w:p w14:paraId="3B324DBD" w14:textId="77777777" w:rsidR="00B405DF" w:rsidRPr="00BF3578" w:rsidRDefault="00B405DF" w:rsidP="00B405DF">
      <w:pPr>
        <w:rPr>
          <w:rFonts w:asciiTheme="majorHAnsi" w:hAnsiTheme="majorHAnsi"/>
          <w:color w:val="auto"/>
        </w:rPr>
      </w:pPr>
    </w:p>
    <w:p w14:paraId="25FA30EA" w14:textId="10679E73" w:rsidR="00B405DF" w:rsidRPr="00BF3578" w:rsidRDefault="00B405DF" w:rsidP="00B405DF">
      <w:pPr>
        <w:numPr>
          <w:ilvl w:val="0"/>
          <w:numId w:val="44"/>
        </w:numPr>
        <w:rPr>
          <w:rFonts w:asciiTheme="majorHAnsi" w:hAnsiTheme="majorHAnsi"/>
          <w:color w:val="auto"/>
        </w:rPr>
      </w:pPr>
      <w:r w:rsidRPr="00BF3578">
        <w:rPr>
          <w:rFonts w:asciiTheme="majorHAnsi" w:hAnsiTheme="majorHAnsi"/>
          <w:color w:val="auto"/>
        </w:rPr>
        <w:t>Pay staff at competitive rates comparable with similar appointments</w:t>
      </w:r>
      <w:r w:rsidR="00F2094B" w:rsidRPr="00BF3578">
        <w:rPr>
          <w:rFonts w:asciiTheme="majorHAnsi" w:hAnsiTheme="majorHAnsi"/>
          <w:color w:val="auto"/>
        </w:rPr>
        <w:t xml:space="preserve">, </w:t>
      </w:r>
      <w:r w:rsidRPr="00BF3578">
        <w:rPr>
          <w:rFonts w:asciiTheme="majorHAnsi" w:hAnsiTheme="majorHAnsi"/>
          <w:color w:val="auto"/>
        </w:rPr>
        <w:t xml:space="preserve">taking into account </w:t>
      </w:r>
      <w:r w:rsidR="00F2094B" w:rsidRPr="00BF3578">
        <w:rPr>
          <w:rFonts w:asciiTheme="majorHAnsi" w:hAnsiTheme="majorHAnsi"/>
          <w:color w:val="auto"/>
        </w:rPr>
        <w:t xml:space="preserve">the value of </w:t>
      </w:r>
      <w:r w:rsidRPr="00BF3578">
        <w:rPr>
          <w:rFonts w:asciiTheme="majorHAnsi" w:hAnsiTheme="majorHAnsi"/>
          <w:color w:val="auto"/>
        </w:rPr>
        <w:t xml:space="preserve">our wider benefits package. </w:t>
      </w:r>
    </w:p>
    <w:p w14:paraId="0A335229" w14:textId="311AB652" w:rsidR="00B405DF" w:rsidRPr="00BF3578" w:rsidRDefault="00B405DF" w:rsidP="00B405DF">
      <w:pPr>
        <w:numPr>
          <w:ilvl w:val="0"/>
          <w:numId w:val="44"/>
        </w:numPr>
        <w:rPr>
          <w:rFonts w:asciiTheme="majorHAnsi" w:hAnsiTheme="majorHAnsi"/>
          <w:color w:val="auto"/>
        </w:rPr>
      </w:pPr>
      <w:r w:rsidRPr="00BF3578">
        <w:rPr>
          <w:rFonts w:asciiTheme="majorHAnsi" w:hAnsiTheme="majorHAnsi"/>
          <w:color w:val="auto"/>
        </w:rPr>
        <w:t>Treat staff equitably, so that staff who have equal responsibilities generally receive similar remuneration.</w:t>
      </w:r>
    </w:p>
    <w:p w14:paraId="6DE39781" w14:textId="77777777" w:rsidR="00B405DF" w:rsidRPr="00BF3578" w:rsidRDefault="00B405DF" w:rsidP="00B405DF">
      <w:pPr>
        <w:rPr>
          <w:rFonts w:asciiTheme="majorHAnsi" w:hAnsiTheme="majorHAnsi"/>
          <w:color w:val="auto"/>
        </w:rPr>
      </w:pPr>
    </w:p>
    <w:p w14:paraId="4F381AEF" w14:textId="737564DA" w:rsidR="00B405DF" w:rsidRPr="00BF3578" w:rsidRDefault="00B405DF" w:rsidP="00B405DF">
      <w:pPr>
        <w:rPr>
          <w:rFonts w:asciiTheme="majorHAnsi" w:hAnsiTheme="majorHAnsi"/>
          <w:color w:val="auto"/>
        </w:rPr>
      </w:pPr>
      <w:r w:rsidRPr="00BF3578">
        <w:rPr>
          <w:rFonts w:asciiTheme="majorHAnsi" w:hAnsiTheme="majorHAnsi"/>
          <w:color w:val="auto"/>
        </w:rPr>
        <w:t xml:space="preserve">In setting pay levels, we do not discriminate against any individual on the basis of </w:t>
      </w:r>
      <w:r w:rsidR="00F2094B" w:rsidRPr="00BF3578">
        <w:rPr>
          <w:rFonts w:asciiTheme="majorHAnsi" w:hAnsiTheme="majorHAnsi"/>
          <w:color w:val="auto"/>
        </w:rPr>
        <w:t xml:space="preserve">their </w:t>
      </w:r>
      <w:r w:rsidRPr="00BF3578">
        <w:rPr>
          <w:rFonts w:asciiTheme="majorHAnsi" w:hAnsiTheme="majorHAnsi"/>
          <w:color w:val="auto"/>
        </w:rPr>
        <w:t xml:space="preserve">sex, sexual orientation, disability, ethnicity, age or religion.  </w:t>
      </w:r>
    </w:p>
    <w:p w14:paraId="366E3265" w14:textId="77777777" w:rsidR="00B405DF" w:rsidRPr="00BF3578" w:rsidRDefault="00B405DF" w:rsidP="00B405DF">
      <w:pPr>
        <w:rPr>
          <w:rFonts w:asciiTheme="majorHAnsi" w:hAnsiTheme="majorHAnsi"/>
          <w:color w:val="auto"/>
        </w:rPr>
      </w:pPr>
    </w:p>
    <w:p w14:paraId="3C9011ED" w14:textId="77777777" w:rsidR="00B405DF" w:rsidRPr="00BF3578" w:rsidRDefault="00B405DF" w:rsidP="00B405DF">
      <w:pPr>
        <w:rPr>
          <w:rFonts w:asciiTheme="majorHAnsi" w:hAnsiTheme="majorHAnsi"/>
          <w:color w:val="auto"/>
        </w:rPr>
      </w:pPr>
      <w:r w:rsidRPr="00BF3578">
        <w:rPr>
          <w:rFonts w:asciiTheme="majorHAnsi" w:hAnsiTheme="majorHAnsi"/>
          <w:color w:val="auto"/>
        </w:rPr>
        <w:t>Fixed term contract staff are paid on the same basis as permanent staff and part time staff on a pro rata basis, except in exceptional circumstances where this cannot reasonably be achieved.</w:t>
      </w:r>
    </w:p>
    <w:p w14:paraId="2C427E3C" w14:textId="77777777" w:rsidR="00B405DF" w:rsidRPr="00C73535" w:rsidRDefault="00B405DF" w:rsidP="00BC735F">
      <w:pPr>
        <w:pStyle w:val="Heading2"/>
        <w:spacing w:line="276" w:lineRule="auto"/>
        <w:rPr>
          <w:rFonts w:ascii="Century Gothic" w:hAnsi="Century Gothic"/>
          <w:b/>
          <w:bCs/>
          <w:color w:val="auto"/>
          <w:sz w:val="28"/>
          <w:szCs w:val="28"/>
        </w:rPr>
      </w:pPr>
      <w:bookmarkStart w:id="1" w:name="_Hlk145108446"/>
    </w:p>
    <w:p w14:paraId="6F32629A" w14:textId="541E5EBE" w:rsidR="00C73535" w:rsidRPr="00C73535" w:rsidRDefault="00C73535" w:rsidP="00C73535">
      <w:pPr>
        <w:rPr>
          <w:rFonts w:ascii="Century Gothic" w:hAnsi="Century Gothic"/>
          <w:b/>
          <w:bCs/>
          <w:color w:val="1F4E79" w:themeColor="accent5" w:themeShade="80"/>
          <w:sz w:val="28"/>
          <w:szCs w:val="28"/>
        </w:rPr>
      </w:pPr>
      <w:r w:rsidRPr="00C73535">
        <w:rPr>
          <w:rFonts w:ascii="Century Gothic" w:hAnsi="Century Gothic"/>
          <w:b/>
          <w:bCs/>
          <w:color w:val="1F4E79" w:themeColor="accent5" w:themeShade="80"/>
          <w:sz w:val="28"/>
          <w:szCs w:val="28"/>
        </w:rPr>
        <w:t>Annual Cost of Living Pay Increase</w:t>
      </w:r>
    </w:p>
    <w:p w14:paraId="364F744D" w14:textId="77777777" w:rsidR="00C73535" w:rsidRPr="00C73535" w:rsidRDefault="00C73535" w:rsidP="00C73535">
      <w:pPr>
        <w:rPr>
          <w:color w:val="auto"/>
        </w:rPr>
      </w:pPr>
    </w:p>
    <w:p w14:paraId="27346BDF" w14:textId="79AAEA44" w:rsidR="00C73535" w:rsidRDefault="00C73535" w:rsidP="00C73535">
      <w:pPr>
        <w:rPr>
          <w:color w:val="auto"/>
        </w:rPr>
      </w:pPr>
      <w:r>
        <w:rPr>
          <w:color w:val="auto"/>
        </w:rPr>
        <w:t>On an annual basis, as part of the budget exercise, the Board may approve a Cost of Living (Inflationary) pay increase.</w:t>
      </w:r>
    </w:p>
    <w:p w14:paraId="68CBDEBC" w14:textId="121E15BB" w:rsidR="00C73535" w:rsidRPr="00C73535" w:rsidRDefault="00C73535" w:rsidP="00C73535">
      <w:pPr>
        <w:spacing w:before="100" w:beforeAutospacing="1" w:after="360"/>
        <w:rPr>
          <w:rFonts w:ascii="Century Gothic" w:hAnsi="Century Gothic"/>
          <w:b/>
          <w:bCs/>
          <w:color w:val="1F4E79" w:themeColor="accent5" w:themeShade="80"/>
          <w:sz w:val="28"/>
          <w:szCs w:val="28"/>
        </w:rPr>
      </w:pPr>
      <w:r w:rsidRPr="00C73535">
        <w:rPr>
          <w:rFonts w:ascii="Century Gothic" w:hAnsi="Century Gothic"/>
          <w:b/>
          <w:bCs/>
          <w:color w:val="1F4E79" w:themeColor="accent5" w:themeShade="80"/>
          <w:sz w:val="28"/>
          <w:szCs w:val="28"/>
        </w:rPr>
        <w:t>Other Pay Increases</w:t>
      </w:r>
    </w:p>
    <w:p w14:paraId="37B90367" w14:textId="52351E96" w:rsidR="00C73535" w:rsidRPr="00F2094B" w:rsidRDefault="00C73535" w:rsidP="00F2094B">
      <w:pPr>
        <w:pStyle w:val="BodyTextIndent"/>
        <w:ind w:left="0"/>
        <w:rPr>
          <w:rFonts w:ascii="Calibri Light" w:hAnsi="Calibri Light" w:cs="Calibri Light"/>
        </w:rPr>
      </w:pPr>
      <w:r w:rsidRPr="00F2094B">
        <w:rPr>
          <w:rFonts w:ascii="Calibri Light" w:hAnsi="Calibri Light" w:cs="Calibri Light"/>
        </w:rPr>
        <w:lastRenderedPageBreak/>
        <w:t xml:space="preserve">There may be a requirement to review individual salaries throughout the year as a result of a promotion, role changes or any other reason deemed appropriate.  Such a review will be in accordance with the factors outlined in </w:t>
      </w:r>
      <w:r w:rsidR="00F2094B">
        <w:rPr>
          <w:rFonts w:ascii="Calibri Light" w:hAnsi="Calibri Light" w:cs="Calibri Light"/>
        </w:rPr>
        <w:t xml:space="preserve">below. </w:t>
      </w:r>
    </w:p>
    <w:p w14:paraId="4FC45FA8" w14:textId="77777777" w:rsidR="00C73535" w:rsidRPr="00F2094B" w:rsidRDefault="00C73535" w:rsidP="00C73535">
      <w:pPr>
        <w:rPr>
          <w:rFonts w:cs="Calibri Light"/>
          <w:color w:val="auto"/>
        </w:rPr>
      </w:pPr>
    </w:p>
    <w:p w14:paraId="1B1F8B92" w14:textId="373A8DDA" w:rsidR="00C73535" w:rsidRPr="00F2094B" w:rsidRDefault="00C73535" w:rsidP="00F2094B">
      <w:pPr>
        <w:pStyle w:val="ListParagraph"/>
        <w:numPr>
          <w:ilvl w:val="0"/>
          <w:numId w:val="46"/>
        </w:numPr>
        <w:rPr>
          <w:rFonts w:ascii="Calibri Light" w:hAnsi="Calibri Light" w:cs="Calibri Light"/>
          <w:color w:val="auto"/>
          <w:sz w:val="24"/>
          <w:szCs w:val="24"/>
        </w:rPr>
      </w:pPr>
      <w:r w:rsidRPr="00F2094B">
        <w:rPr>
          <w:rFonts w:ascii="Calibri Light" w:hAnsi="Calibri Light" w:cs="Calibri Light"/>
          <w:b/>
          <w:color w:val="1F4E79" w:themeColor="accent5" w:themeShade="80"/>
          <w:sz w:val="24"/>
          <w:szCs w:val="24"/>
        </w:rPr>
        <w:t>External Comparators.</w:t>
      </w:r>
      <w:r w:rsidRPr="00F2094B">
        <w:rPr>
          <w:rFonts w:ascii="Calibri Light" w:hAnsi="Calibri Light" w:cs="Calibri Light"/>
          <w:color w:val="1F4E79" w:themeColor="accent5" w:themeShade="80"/>
          <w:sz w:val="24"/>
          <w:szCs w:val="24"/>
        </w:rPr>
        <w:t xml:space="preserve">  </w:t>
      </w:r>
      <w:r w:rsidRPr="00F2094B">
        <w:rPr>
          <w:rFonts w:ascii="Calibri Light" w:hAnsi="Calibri Light" w:cs="Calibri Light"/>
          <w:color w:val="auto"/>
          <w:sz w:val="24"/>
          <w:szCs w:val="24"/>
        </w:rPr>
        <w:t xml:space="preserve">In order to compete effectively for high calibre people, </w:t>
      </w:r>
      <w:r w:rsidR="00F2094B" w:rsidRPr="00F2094B">
        <w:rPr>
          <w:rFonts w:ascii="Calibri Light" w:hAnsi="Calibri Light" w:cs="Calibri Light"/>
          <w:color w:val="auto"/>
          <w:sz w:val="24"/>
          <w:szCs w:val="24"/>
        </w:rPr>
        <w:t xml:space="preserve">we </w:t>
      </w:r>
      <w:r w:rsidRPr="00F2094B">
        <w:rPr>
          <w:rFonts w:ascii="Calibri Light" w:hAnsi="Calibri Light" w:cs="Calibri Light"/>
          <w:color w:val="auto"/>
          <w:sz w:val="24"/>
          <w:szCs w:val="24"/>
        </w:rPr>
        <w:t xml:space="preserve">seek to offer a competitive remuneration package compared to similar appointments in a particular locality.      </w:t>
      </w:r>
    </w:p>
    <w:p w14:paraId="243A2B45" w14:textId="77777777" w:rsidR="00C73535" w:rsidRPr="00F2094B" w:rsidRDefault="00C73535" w:rsidP="00C73535">
      <w:pPr>
        <w:pStyle w:val="ListParagraph"/>
        <w:numPr>
          <w:ilvl w:val="0"/>
          <w:numId w:val="46"/>
        </w:numPr>
        <w:rPr>
          <w:rFonts w:ascii="Calibri Light" w:hAnsi="Calibri Light" w:cs="Calibri Light"/>
          <w:color w:val="auto"/>
          <w:sz w:val="24"/>
          <w:szCs w:val="24"/>
        </w:rPr>
      </w:pPr>
      <w:r w:rsidRPr="00F2094B">
        <w:rPr>
          <w:rFonts w:ascii="Calibri Light" w:hAnsi="Calibri Light" w:cs="Calibri Light"/>
          <w:b/>
          <w:color w:val="1F4E79" w:themeColor="accent5" w:themeShade="80"/>
          <w:sz w:val="24"/>
          <w:szCs w:val="24"/>
        </w:rPr>
        <w:t>Internal Comparators.</w:t>
      </w:r>
      <w:r w:rsidRPr="00F2094B">
        <w:rPr>
          <w:rFonts w:ascii="Calibri Light" w:hAnsi="Calibri Light" w:cs="Calibri Light"/>
          <w:color w:val="1F4E79" w:themeColor="accent5" w:themeShade="80"/>
          <w:sz w:val="24"/>
          <w:szCs w:val="24"/>
        </w:rPr>
        <w:t xml:space="preserve">  </w:t>
      </w:r>
      <w:r w:rsidRPr="00F2094B">
        <w:rPr>
          <w:rFonts w:ascii="Calibri Light" w:hAnsi="Calibri Light" w:cs="Calibri Light"/>
          <w:color w:val="auto"/>
          <w:sz w:val="24"/>
          <w:szCs w:val="24"/>
        </w:rPr>
        <w:t>We will ensure that:</w:t>
      </w:r>
    </w:p>
    <w:p w14:paraId="669AB7A0" w14:textId="78370276" w:rsidR="00C73535" w:rsidRPr="00F2094B" w:rsidRDefault="00C73535" w:rsidP="00C73535">
      <w:pPr>
        <w:pStyle w:val="ListParagraph"/>
        <w:numPr>
          <w:ilvl w:val="1"/>
          <w:numId w:val="46"/>
        </w:numPr>
        <w:rPr>
          <w:rFonts w:ascii="Calibri Light" w:hAnsi="Calibri Light" w:cs="Calibri Light"/>
          <w:color w:val="auto"/>
          <w:sz w:val="24"/>
          <w:szCs w:val="24"/>
        </w:rPr>
      </w:pPr>
      <w:r w:rsidRPr="00F2094B">
        <w:rPr>
          <w:rFonts w:ascii="Calibri Light" w:hAnsi="Calibri Light" w:cs="Calibri Light"/>
          <w:color w:val="auto"/>
          <w:sz w:val="24"/>
          <w:szCs w:val="24"/>
        </w:rPr>
        <w:t xml:space="preserve">Any salary proposed for a role is reasonable in relation to other comparable roles within </w:t>
      </w:r>
      <w:r w:rsidR="00F2094B">
        <w:rPr>
          <w:rFonts w:ascii="Calibri Light" w:hAnsi="Calibri Light" w:cs="Calibri Light"/>
          <w:color w:val="auto"/>
          <w:sz w:val="24"/>
          <w:szCs w:val="24"/>
        </w:rPr>
        <w:t>our charity.</w:t>
      </w:r>
      <w:r w:rsidRPr="00F2094B">
        <w:rPr>
          <w:rFonts w:ascii="Calibri Light" w:hAnsi="Calibri Light" w:cs="Calibri Light"/>
          <w:color w:val="auto"/>
          <w:sz w:val="24"/>
          <w:szCs w:val="24"/>
        </w:rPr>
        <w:t xml:space="preserve">  </w:t>
      </w:r>
    </w:p>
    <w:p w14:paraId="588372DA" w14:textId="77777777" w:rsidR="00C73535" w:rsidRPr="00F2094B" w:rsidRDefault="00C73535" w:rsidP="00C73535">
      <w:pPr>
        <w:pStyle w:val="ListParagraph"/>
        <w:numPr>
          <w:ilvl w:val="2"/>
          <w:numId w:val="46"/>
        </w:numPr>
        <w:rPr>
          <w:rFonts w:ascii="Calibri Light" w:hAnsi="Calibri Light" w:cs="Calibri Light"/>
          <w:color w:val="auto"/>
          <w:sz w:val="24"/>
          <w:szCs w:val="24"/>
        </w:rPr>
      </w:pPr>
      <w:r w:rsidRPr="00F2094B">
        <w:rPr>
          <w:rFonts w:ascii="Calibri Light" w:hAnsi="Calibri Light" w:cs="Calibri Light"/>
          <w:color w:val="auto"/>
          <w:sz w:val="24"/>
          <w:szCs w:val="24"/>
        </w:rPr>
        <w:t>However, where a staff member in a comparable role is overpaid and action is being taken to address this, the salary for that particular role would not be used as a comparator.</w:t>
      </w:r>
    </w:p>
    <w:p w14:paraId="45DA0D75" w14:textId="607F16AD" w:rsidR="00C73535" w:rsidRPr="00F2094B" w:rsidRDefault="00C73535" w:rsidP="00C73535">
      <w:pPr>
        <w:pStyle w:val="ListParagraph"/>
        <w:numPr>
          <w:ilvl w:val="1"/>
          <w:numId w:val="46"/>
        </w:numPr>
        <w:rPr>
          <w:rFonts w:ascii="Calibri Light" w:hAnsi="Calibri Light" w:cs="Calibri Light"/>
          <w:color w:val="auto"/>
          <w:sz w:val="24"/>
          <w:szCs w:val="24"/>
        </w:rPr>
      </w:pPr>
      <w:r w:rsidRPr="00F2094B">
        <w:rPr>
          <w:rFonts w:ascii="Calibri Light" w:hAnsi="Calibri Light" w:cs="Calibri Light"/>
          <w:color w:val="auto"/>
          <w:sz w:val="24"/>
          <w:szCs w:val="24"/>
        </w:rPr>
        <w:t xml:space="preserve">We maintain appropriate salary differentials.  For example, directors would normally be paid more than </w:t>
      </w:r>
      <w:r w:rsidR="00F2094B">
        <w:rPr>
          <w:rFonts w:ascii="Calibri Light" w:hAnsi="Calibri Light" w:cs="Calibri Light"/>
          <w:color w:val="auto"/>
          <w:sz w:val="24"/>
          <w:szCs w:val="24"/>
        </w:rPr>
        <w:t>managers</w:t>
      </w:r>
      <w:r w:rsidRPr="00F2094B">
        <w:rPr>
          <w:rFonts w:ascii="Calibri Light" w:hAnsi="Calibri Light" w:cs="Calibri Light"/>
          <w:color w:val="auto"/>
          <w:sz w:val="24"/>
          <w:szCs w:val="24"/>
        </w:rPr>
        <w:t xml:space="preserve">, because of their greater responsibility.  </w:t>
      </w:r>
    </w:p>
    <w:p w14:paraId="5943096F" w14:textId="77777777" w:rsidR="00C73535" w:rsidRPr="00F2094B" w:rsidRDefault="00C73535" w:rsidP="00C73535">
      <w:pPr>
        <w:pStyle w:val="ListParagraph"/>
        <w:numPr>
          <w:ilvl w:val="0"/>
          <w:numId w:val="46"/>
        </w:numPr>
        <w:rPr>
          <w:rFonts w:ascii="Calibri Light" w:hAnsi="Calibri Light" w:cs="Calibri Light"/>
          <w:color w:val="auto"/>
          <w:sz w:val="24"/>
          <w:szCs w:val="24"/>
        </w:rPr>
      </w:pPr>
      <w:r w:rsidRPr="00F2094B">
        <w:rPr>
          <w:rFonts w:ascii="Calibri Light" w:hAnsi="Calibri Light" w:cs="Calibri Light"/>
          <w:b/>
          <w:color w:val="1F4E79" w:themeColor="accent5" w:themeShade="80"/>
          <w:sz w:val="24"/>
          <w:szCs w:val="24"/>
        </w:rPr>
        <w:t>Responsibilities.</w:t>
      </w:r>
      <w:r w:rsidRPr="00F2094B">
        <w:rPr>
          <w:rFonts w:ascii="Calibri Light" w:hAnsi="Calibri Light" w:cs="Calibri Light"/>
          <w:color w:val="1F4E79" w:themeColor="accent5" w:themeShade="80"/>
          <w:sz w:val="24"/>
          <w:szCs w:val="24"/>
        </w:rPr>
        <w:t xml:space="preserve">  </w:t>
      </w:r>
      <w:r w:rsidRPr="00F2094B">
        <w:rPr>
          <w:rFonts w:ascii="Calibri Light" w:hAnsi="Calibri Light" w:cs="Calibri Light"/>
          <w:color w:val="auto"/>
          <w:sz w:val="24"/>
          <w:szCs w:val="24"/>
        </w:rPr>
        <w:t xml:space="preserve">We take into account the level and breadth of responsibility a post has, including in terms of staff line managed and budget held. </w:t>
      </w:r>
    </w:p>
    <w:p w14:paraId="26FAB818" w14:textId="1B294958" w:rsidR="00C73535" w:rsidRPr="00BF3578" w:rsidRDefault="00C73535" w:rsidP="00BF3578">
      <w:pPr>
        <w:pStyle w:val="ListParagraph"/>
        <w:numPr>
          <w:ilvl w:val="0"/>
          <w:numId w:val="46"/>
        </w:numPr>
        <w:rPr>
          <w:rFonts w:ascii="Calibri Light" w:hAnsi="Calibri Light" w:cs="Calibri Light"/>
          <w:color w:val="auto"/>
          <w:sz w:val="24"/>
          <w:szCs w:val="24"/>
        </w:rPr>
      </w:pPr>
      <w:r w:rsidRPr="00BF3578">
        <w:rPr>
          <w:rFonts w:ascii="Calibri Light" w:hAnsi="Calibri Light" w:cs="Calibri Light"/>
          <w:b/>
          <w:color w:val="1F4E79" w:themeColor="accent5" w:themeShade="80"/>
          <w:sz w:val="24"/>
          <w:szCs w:val="24"/>
        </w:rPr>
        <w:t>Competencies.</w:t>
      </w:r>
      <w:r w:rsidRPr="00BF3578">
        <w:rPr>
          <w:rFonts w:ascii="Calibri Light" w:hAnsi="Calibri Light" w:cs="Calibri Light"/>
          <w:color w:val="1F4E79" w:themeColor="accent5" w:themeShade="80"/>
          <w:sz w:val="24"/>
          <w:szCs w:val="24"/>
        </w:rPr>
        <w:t xml:space="preserve">  </w:t>
      </w:r>
      <w:r w:rsidRPr="00BF3578">
        <w:rPr>
          <w:rFonts w:ascii="Calibri Light" w:hAnsi="Calibri Light" w:cs="Calibri Light"/>
          <w:color w:val="auto"/>
          <w:sz w:val="24"/>
          <w:szCs w:val="24"/>
        </w:rPr>
        <w:t xml:space="preserve">We also take into account the range and nature of skills, experience and any technical/professional expertise or qualifications required for the role.  For example, roles that require </w:t>
      </w:r>
      <w:r w:rsidR="00BF3578" w:rsidRPr="00BF3578">
        <w:rPr>
          <w:rFonts w:ascii="Calibri Light" w:hAnsi="Calibri Light" w:cs="Calibri Light"/>
          <w:color w:val="auto"/>
          <w:sz w:val="24"/>
          <w:szCs w:val="24"/>
        </w:rPr>
        <w:t>h</w:t>
      </w:r>
      <w:r w:rsidRPr="00BF3578">
        <w:rPr>
          <w:rFonts w:ascii="Calibri Light" w:hAnsi="Calibri Light" w:cs="Calibri Light"/>
          <w:color w:val="auto"/>
          <w:sz w:val="24"/>
          <w:szCs w:val="24"/>
        </w:rPr>
        <w:t xml:space="preserve">igh level, complex or demanding competencies would be assessed more highly than those that do not. </w:t>
      </w:r>
    </w:p>
    <w:p w14:paraId="7B75429D" w14:textId="77777777" w:rsidR="00C73535" w:rsidRPr="00F2094B" w:rsidRDefault="00C73535" w:rsidP="00C73535">
      <w:pPr>
        <w:rPr>
          <w:rFonts w:cs="Calibri Light"/>
          <w:color w:val="auto"/>
        </w:rPr>
      </w:pPr>
      <w:r w:rsidRPr="00F2094B">
        <w:rPr>
          <w:rFonts w:cs="Calibri Light"/>
          <w:color w:val="auto"/>
        </w:rPr>
        <w:t xml:space="preserve">Salary will be assessed by comparing the salaries advertised for a range of broadly comparable roles in the locality with similar responsibilities and skills, as outlined above.   This will usually be by means of an internet search and/or pay benchmarking data, if available.  </w:t>
      </w:r>
    </w:p>
    <w:p w14:paraId="5C896F54" w14:textId="77777777" w:rsidR="00C73535" w:rsidRPr="00F2094B" w:rsidRDefault="00C73535" w:rsidP="00C73535">
      <w:pPr>
        <w:rPr>
          <w:rFonts w:cs="Calibri Light"/>
          <w:color w:val="auto"/>
        </w:rPr>
      </w:pPr>
    </w:p>
    <w:p w14:paraId="1F80D1BE" w14:textId="77777777" w:rsidR="00C73535" w:rsidRPr="00F2094B" w:rsidRDefault="00C73535" w:rsidP="00C73535">
      <w:pPr>
        <w:rPr>
          <w:rFonts w:cs="Calibri Light"/>
          <w:color w:val="auto"/>
        </w:rPr>
      </w:pPr>
      <w:r w:rsidRPr="00F2094B">
        <w:rPr>
          <w:rFonts w:cs="Calibri Light"/>
          <w:color w:val="auto"/>
        </w:rPr>
        <w:t xml:space="preserve">The salary or salary range identified will then be refined to a specific salary through comparison with other internal posts.   </w:t>
      </w:r>
    </w:p>
    <w:p w14:paraId="713A2169" w14:textId="77777777" w:rsidR="00C73535" w:rsidRDefault="00C73535" w:rsidP="00C73535"/>
    <w:p w14:paraId="12200208" w14:textId="317ACD4A" w:rsidR="00C73535" w:rsidRPr="00C73535" w:rsidRDefault="00C73535" w:rsidP="00C73535">
      <w:pPr>
        <w:rPr>
          <w:rFonts w:ascii="Century Gothic" w:eastAsiaTheme="majorEastAsia" w:hAnsi="Century Gothic" w:cstheme="majorBidi"/>
          <w:b/>
          <w:bCs/>
          <w:color w:val="1F4E79" w:themeColor="accent5" w:themeShade="80"/>
          <w:sz w:val="28"/>
          <w:szCs w:val="28"/>
        </w:rPr>
      </w:pPr>
      <w:r w:rsidRPr="00C73535">
        <w:rPr>
          <w:rFonts w:ascii="Century Gothic" w:eastAsiaTheme="majorEastAsia" w:hAnsi="Century Gothic" w:cstheme="majorBidi"/>
          <w:b/>
          <w:bCs/>
          <w:color w:val="1F4E79" w:themeColor="accent5" w:themeShade="80"/>
          <w:sz w:val="28"/>
          <w:szCs w:val="28"/>
        </w:rPr>
        <w:t>Other Types of Pay</w:t>
      </w:r>
    </w:p>
    <w:p w14:paraId="76FC6757" w14:textId="77777777" w:rsidR="00C73535" w:rsidRDefault="00C73535" w:rsidP="00C73535"/>
    <w:p w14:paraId="6D9981AB" w14:textId="41332997" w:rsidR="00C73535" w:rsidRDefault="00BF3578" w:rsidP="00C73535">
      <w:pPr>
        <w:rPr>
          <w:color w:val="auto"/>
        </w:rPr>
      </w:pPr>
      <w:r w:rsidRPr="00BF3578">
        <w:rPr>
          <w:color w:val="auto"/>
        </w:rPr>
        <w:t xml:space="preserve">We always pay at least the statutory minimum applicable for any type of pay, but the Board may authorise higher rates or periods, where it would be in the best interests of the charity to do so and be affordable. </w:t>
      </w:r>
    </w:p>
    <w:p w14:paraId="0D2730FD" w14:textId="77777777" w:rsidR="00471A5C" w:rsidRDefault="00471A5C" w:rsidP="00C73535">
      <w:pPr>
        <w:rPr>
          <w:color w:val="auto"/>
        </w:rPr>
      </w:pPr>
    </w:p>
    <w:p w14:paraId="1188A612" w14:textId="040DB2D8" w:rsidR="00471A5C" w:rsidRPr="00471A5C" w:rsidRDefault="00471A5C" w:rsidP="00C73535">
      <w:pPr>
        <w:rPr>
          <w:rFonts w:ascii="Century Gothic" w:eastAsiaTheme="majorEastAsia" w:hAnsi="Century Gothic" w:cstheme="majorBidi"/>
          <w:b/>
          <w:bCs/>
          <w:color w:val="1F4E79" w:themeColor="accent5" w:themeShade="80"/>
          <w:sz w:val="28"/>
          <w:szCs w:val="28"/>
        </w:rPr>
      </w:pPr>
      <w:r w:rsidRPr="00471A5C">
        <w:rPr>
          <w:rFonts w:ascii="Century Gothic" w:eastAsiaTheme="majorEastAsia" w:hAnsi="Century Gothic" w:cstheme="majorBidi"/>
          <w:b/>
          <w:bCs/>
          <w:color w:val="1F4E79" w:themeColor="accent5" w:themeShade="80"/>
          <w:sz w:val="28"/>
          <w:szCs w:val="28"/>
        </w:rPr>
        <w:t>Pay Gap Reporting</w:t>
      </w:r>
    </w:p>
    <w:p w14:paraId="450D1B67" w14:textId="77777777" w:rsidR="00471A5C" w:rsidRDefault="00471A5C" w:rsidP="00C73535">
      <w:pPr>
        <w:rPr>
          <w:color w:val="auto"/>
        </w:rPr>
      </w:pPr>
    </w:p>
    <w:p w14:paraId="328035B9" w14:textId="4EFBBB4B" w:rsidR="00471A5C" w:rsidRPr="00BF3578" w:rsidRDefault="00471A5C" w:rsidP="00C73535">
      <w:pPr>
        <w:rPr>
          <w:color w:val="auto"/>
        </w:rPr>
      </w:pPr>
      <w:r>
        <w:rPr>
          <w:color w:val="auto"/>
        </w:rPr>
        <w:t>It is good practice to report pay gaps but only organisations with more than 250 staff must report their gender pay gap.  It is optional for those with fewer staff and both ethnicity and disability pay gap reporting are optional for all organisations.</w:t>
      </w:r>
    </w:p>
    <w:p w14:paraId="00BCDF63" w14:textId="77777777" w:rsidR="00C73535" w:rsidRPr="00C73535" w:rsidRDefault="00C73535" w:rsidP="00C73535"/>
    <w:p w14:paraId="3866D237" w14:textId="04BEF17A" w:rsidR="00BC735F" w:rsidRPr="00310C2A" w:rsidRDefault="00BC735F" w:rsidP="00BC735F">
      <w:pPr>
        <w:pStyle w:val="Heading2"/>
        <w:spacing w:line="276" w:lineRule="auto"/>
      </w:pPr>
      <w:r w:rsidRPr="00310C2A">
        <w:rPr>
          <w:rFonts w:ascii="Century Gothic" w:hAnsi="Century Gothic"/>
          <w:b/>
          <w:bCs/>
          <w:color w:val="1F4E79" w:themeColor="accent5" w:themeShade="80"/>
          <w:sz w:val="28"/>
          <w:szCs w:val="28"/>
        </w:rPr>
        <w:lastRenderedPageBreak/>
        <w:t>Applicability</w:t>
      </w:r>
    </w:p>
    <w:p w14:paraId="12199DCD" w14:textId="02E67441" w:rsidR="008434A6" w:rsidRPr="00F54934" w:rsidRDefault="008434A6" w:rsidP="008434A6">
      <w:pPr>
        <w:spacing w:before="100" w:beforeAutospacing="1" w:after="360"/>
        <w:rPr>
          <w:rFonts w:asciiTheme="majorHAnsi" w:hAnsiTheme="majorHAnsi"/>
          <w:color w:val="auto"/>
          <w:szCs w:val="24"/>
        </w:rPr>
      </w:pPr>
      <w:r w:rsidRPr="00F54934">
        <w:rPr>
          <w:rFonts w:asciiTheme="majorHAnsi" w:hAnsiTheme="majorHAnsi"/>
          <w:color w:val="auto"/>
          <w:szCs w:val="24"/>
        </w:rPr>
        <w:t xml:space="preserve">This policy applies to </w:t>
      </w:r>
      <w:r w:rsidR="00C73535">
        <w:rPr>
          <w:rFonts w:asciiTheme="majorHAnsi" w:hAnsiTheme="majorHAnsi"/>
          <w:color w:val="auto"/>
          <w:szCs w:val="24"/>
        </w:rPr>
        <w:t xml:space="preserve">staff and </w:t>
      </w:r>
      <w:r>
        <w:rPr>
          <w:rFonts w:asciiTheme="majorHAnsi" w:hAnsiTheme="majorHAnsi"/>
          <w:color w:val="auto"/>
          <w:szCs w:val="24"/>
        </w:rPr>
        <w:t xml:space="preserve">should be reflected in other policies and procedures, agreements and contracts, as necessary. </w:t>
      </w:r>
      <w:r w:rsidR="007427AA">
        <w:rPr>
          <w:rFonts w:asciiTheme="majorHAnsi" w:hAnsiTheme="majorHAnsi"/>
          <w:color w:val="auto"/>
          <w:szCs w:val="24"/>
        </w:rPr>
        <w:t xml:space="preserve"> Trustees are only very rarely members of staff and there is a range of separate regulatory guidelines published on making payments to trustees. </w:t>
      </w:r>
    </w:p>
    <w:p w14:paraId="13A64259" w14:textId="77777777" w:rsidR="00EF58D2" w:rsidRDefault="00EF58D2" w:rsidP="00EF58D2">
      <w:pPr>
        <w:spacing w:before="100" w:beforeAutospacing="1" w:after="100" w:afterAutospacing="1" w:line="276" w:lineRule="auto"/>
        <w:textAlignment w:val="baseline"/>
        <w:rPr>
          <w:rFonts w:ascii="Century Gothic" w:hAnsi="Century Gothic"/>
          <w:b/>
          <w:bCs/>
          <w:color w:val="1F4E79" w:themeColor="accent5" w:themeShade="80"/>
          <w:sz w:val="28"/>
          <w:szCs w:val="28"/>
        </w:rPr>
      </w:pPr>
      <w:bookmarkStart w:id="2" w:name="_Hlk145108225"/>
      <w:bookmarkEnd w:id="1"/>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EF58D2" w14:paraId="0370E510" w14:textId="77777777" w:rsidTr="00986B51">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C4C1CAE"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EF542EF"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15B140"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53DC9B3"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E6FD5FB" w14:textId="77777777" w:rsidR="00EF58D2" w:rsidRPr="00161611" w:rsidRDefault="00EF58D2" w:rsidP="00986B51">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EF58D2" w14:paraId="5C959BB5" w14:textId="77777777" w:rsidTr="00986B51">
        <w:tc>
          <w:tcPr>
            <w:tcW w:w="987" w:type="dxa"/>
            <w:tcBorders>
              <w:top w:val="single" w:sz="4" w:space="0" w:color="auto"/>
              <w:left w:val="single" w:sz="4" w:space="0" w:color="auto"/>
              <w:bottom w:val="single" w:sz="4" w:space="0" w:color="auto"/>
              <w:right w:val="single" w:sz="4" w:space="0" w:color="auto"/>
            </w:tcBorders>
            <w:vAlign w:val="center"/>
            <w:hideMark/>
          </w:tcPr>
          <w:p w14:paraId="1D10595A"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409090"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6A700" w14:textId="6D35E2BB" w:rsidR="00EF58D2" w:rsidRPr="00161611" w:rsidRDefault="007427AA" w:rsidP="00986B51">
            <w:pPr>
              <w:spacing w:line="276" w:lineRule="auto"/>
              <w:jc w:val="center"/>
              <w:rPr>
                <w:rFonts w:asciiTheme="majorHAnsi" w:hAnsiTheme="majorHAnsi"/>
                <w:color w:val="auto"/>
              </w:rPr>
            </w:pPr>
            <w:r>
              <w:rPr>
                <w:rFonts w:asciiTheme="majorHAnsi" w:hAnsiTheme="majorHAnsi"/>
                <w:color w:val="auto"/>
              </w:rPr>
              <w:t xml:space="preserve">Oct </w:t>
            </w:r>
            <w:r w:rsidR="00CE55BC">
              <w:rPr>
                <w:rFonts w:asciiTheme="majorHAnsi" w:hAnsiTheme="majorHAnsi"/>
                <w:color w:val="auto"/>
              </w:rPr>
              <w:t>23</w:t>
            </w:r>
          </w:p>
        </w:tc>
        <w:tc>
          <w:tcPr>
            <w:tcW w:w="5104" w:type="dxa"/>
            <w:tcBorders>
              <w:top w:val="single" w:sz="4" w:space="0" w:color="auto"/>
              <w:left w:val="single" w:sz="4" w:space="0" w:color="auto"/>
              <w:bottom w:val="single" w:sz="4" w:space="0" w:color="auto"/>
              <w:right w:val="single" w:sz="4" w:space="0" w:color="auto"/>
            </w:tcBorders>
            <w:vAlign w:val="center"/>
          </w:tcPr>
          <w:p w14:paraId="6B7177CD"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0DD447" w14:textId="77777777" w:rsidR="00EF58D2" w:rsidRPr="00161611" w:rsidRDefault="00EF58D2" w:rsidP="00986B51">
            <w:pPr>
              <w:spacing w:line="276" w:lineRule="auto"/>
              <w:jc w:val="center"/>
              <w:rPr>
                <w:rFonts w:asciiTheme="majorHAnsi" w:hAnsiTheme="majorHAnsi"/>
                <w:color w:val="auto"/>
              </w:rPr>
            </w:pPr>
            <w:r w:rsidRPr="00161611">
              <w:rPr>
                <w:rFonts w:asciiTheme="majorHAnsi" w:hAnsiTheme="majorHAnsi"/>
                <w:color w:val="auto"/>
              </w:rPr>
              <w:t>Annually</w:t>
            </w:r>
          </w:p>
        </w:tc>
      </w:tr>
      <w:tr w:rsidR="00EF58D2" w14:paraId="401E6A21"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72834897"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3184C0E4"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4CE8C45E"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18C22650"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B448E92" w14:textId="77777777" w:rsidR="00EF58D2" w:rsidRPr="00EE644F" w:rsidRDefault="00EF58D2" w:rsidP="00986B51">
            <w:pPr>
              <w:spacing w:line="276" w:lineRule="auto"/>
              <w:jc w:val="center"/>
              <w:rPr>
                <w:rFonts w:ascii="Corbel Light" w:hAnsi="Corbel Light"/>
                <w:color w:val="auto"/>
              </w:rPr>
            </w:pPr>
          </w:p>
        </w:tc>
      </w:tr>
      <w:tr w:rsidR="00EF58D2" w14:paraId="55FC1C29" w14:textId="77777777" w:rsidTr="00986B51">
        <w:tc>
          <w:tcPr>
            <w:tcW w:w="987" w:type="dxa"/>
            <w:tcBorders>
              <w:top w:val="single" w:sz="4" w:space="0" w:color="auto"/>
              <w:left w:val="single" w:sz="4" w:space="0" w:color="auto"/>
              <w:bottom w:val="single" w:sz="4" w:space="0" w:color="auto"/>
              <w:right w:val="single" w:sz="4" w:space="0" w:color="auto"/>
            </w:tcBorders>
            <w:vAlign w:val="center"/>
          </w:tcPr>
          <w:p w14:paraId="69DA4DD3" w14:textId="77777777" w:rsidR="00EF58D2" w:rsidRPr="00EE644F" w:rsidRDefault="00EF58D2" w:rsidP="00986B51">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6E88FAF" w14:textId="77777777" w:rsidR="00EF58D2" w:rsidRPr="00EE644F" w:rsidRDefault="00EF58D2" w:rsidP="00986B51">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2DD2C53" w14:textId="77777777" w:rsidR="00EF58D2" w:rsidRPr="00EE644F" w:rsidRDefault="00EF58D2" w:rsidP="00986B51">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09FA60D2" w14:textId="77777777" w:rsidR="00EF58D2" w:rsidRPr="00EE644F" w:rsidRDefault="00EF58D2" w:rsidP="00986B51">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656104A5" w14:textId="77777777" w:rsidR="00EF58D2" w:rsidRPr="00EE644F" w:rsidRDefault="00EF58D2" w:rsidP="00986B51">
            <w:pPr>
              <w:spacing w:line="276" w:lineRule="auto"/>
              <w:jc w:val="center"/>
              <w:rPr>
                <w:rFonts w:ascii="Corbel Light" w:hAnsi="Corbel Light"/>
                <w:color w:val="auto"/>
              </w:rPr>
            </w:pPr>
          </w:p>
        </w:tc>
      </w:tr>
    </w:tbl>
    <w:p w14:paraId="0DC9A2CB"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42E47BB0" w14:textId="0A795105" w:rsidR="00EF58D2" w:rsidRDefault="00EF58D2" w:rsidP="00EF58D2">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bookmarkStart w:id="3" w:name="_Hlk131316199"/>
      <w:r w:rsidRPr="00BC735F">
        <w:rPr>
          <w:rFonts w:ascii="Century Gothic" w:hAnsi="Century Gothic"/>
          <w:color w:val="1F4E79" w:themeColor="accent5" w:themeShade="80"/>
          <w:kern w:val="28"/>
          <w:sz w:val="28"/>
          <w:szCs w:val="28"/>
          <w:lang w:eastAsia="en-US"/>
        </w:rPr>
        <w:t>Regulatory Guidance</w:t>
      </w:r>
    </w:p>
    <w:p w14:paraId="537A2D00" w14:textId="77777777" w:rsidR="00B07DC1" w:rsidRDefault="00B07DC1" w:rsidP="00EF58D2">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p>
    <w:p w14:paraId="5C3DC647" w14:textId="0F33FF1A" w:rsidR="00B07DC1" w:rsidRPr="00B07DC1" w:rsidRDefault="00B07DC1"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B07DC1">
        <w:rPr>
          <w:rFonts w:asciiTheme="majorHAnsi" w:hAnsiTheme="majorHAnsi"/>
          <w:b w:val="0"/>
          <w:bCs w:val="0"/>
          <w:color w:val="auto"/>
          <w:spacing w:val="-3"/>
          <w:kern w:val="28"/>
          <w:sz w:val="24"/>
          <w:szCs w:val="24"/>
          <w:lang w:eastAsia="en-US"/>
        </w:rPr>
        <w:t xml:space="preserve">Gov.UK – </w:t>
      </w:r>
      <w:hyperlink r:id="rId8" w:history="1">
        <w:r w:rsidRPr="00140956">
          <w:rPr>
            <w:rStyle w:val="Hyperlink"/>
            <w:rFonts w:asciiTheme="majorHAnsi" w:hAnsiTheme="majorHAnsi"/>
            <w:b w:val="0"/>
            <w:bCs w:val="0"/>
            <w:spacing w:val="-3"/>
            <w:kern w:val="28"/>
            <w:sz w:val="24"/>
            <w:szCs w:val="24"/>
            <w:lang w:eastAsia="en-US"/>
          </w:rPr>
          <w:t>Statutory pay and leave</w:t>
        </w:r>
      </w:hyperlink>
      <w:r w:rsidRPr="00B07DC1">
        <w:rPr>
          <w:rFonts w:asciiTheme="majorHAnsi" w:hAnsiTheme="majorHAnsi"/>
          <w:b w:val="0"/>
          <w:bCs w:val="0"/>
          <w:color w:val="auto"/>
          <w:spacing w:val="-3"/>
          <w:kern w:val="28"/>
          <w:sz w:val="24"/>
          <w:szCs w:val="24"/>
          <w:lang w:eastAsia="en-US"/>
        </w:rPr>
        <w:t>.</w:t>
      </w:r>
    </w:p>
    <w:p w14:paraId="40283916" w14:textId="27D637E9" w:rsidR="00B07DC1" w:rsidRDefault="00B07DC1"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sidRPr="00B07DC1">
        <w:rPr>
          <w:rFonts w:asciiTheme="majorHAnsi" w:hAnsiTheme="majorHAnsi"/>
          <w:b w:val="0"/>
          <w:bCs w:val="0"/>
          <w:color w:val="auto"/>
          <w:spacing w:val="-3"/>
          <w:kern w:val="28"/>
          <w:sz w:val="24"/>
          <w:szCs w:val="24"/>
          <w:lang w:eastAsia="en-US"/>
        </w:rPr>
        <w:t xml:space="preserve">Gov.UK – </w:t>
      </w:r>
      <w:hyperlink r:id="rId9" w:history="1">
        <w:r w:rsidRPr="004E545D">
          <w:rPr>
            <w:rStyle w:val="Hyperlink"/>
            <w:rFonts w:asciiTheme="majorHAnsi" w:hAnsiTheme="majorHAnsi"/>
            <w:b w:val="0"/>
            <w:bCs w:val="0"/>
            <w:spacing w:val="-3"/>
            <w:kern w:val="28"/>
            <w:sz w:val="24"/>
            <w:szCs w:val="24"/>
            <w:lang w:eastAsia="en-US"/>
          </w:rPr>
          <w:t>National Living Wage &amp; National Minimum Wage.</w:t>
        </w:r>
      </w:hyperlink>
    </w:p>
    <w:p w14:paraId="68DA28CE" w14:textId="08070221" w:rsidR="00B07DC1" w:rsidRDefault="00B07DC1"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Gov.UK – </w:t>
      </w:r>
      <w:hyperlink r:id="rId10" w:history="1">
        <w:r w:rsidRPr="004E545D">
          <w:rPr>
            <w:rStyle w:val="Hyperlink"/>
            <w:rFonts w:asciiTheme="majorHAnsi" w:hAnsiTheme="majorHAnsi"/>
            <w:b w:val="0"/>
            <w:bCs w:val="0"/>
            <w:spacing w:val="-3"/>
            <w:kern w:val="28"/>
            <w:sz w:val="24"/>
            <w:szCs w:val="24"/>
            <w:lang w:eastAsia="en-US"/>
          </w:rPr>
          <w:t>Gender pay gap reporting.</w:t>
        </w:r>
      </w:hyperlink>
    </w:p>
    <w:p w14:paraId="371DEE00" w14:textId="0E8A64AA" w:rsidR="00471A5C" w:rsidRDefault="00471A5C"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Gov.UK – </w:t>
      </w:r>
      <w:hyperlink r:id="rId11" w:history="1">
        <w:r w:rsidRPr="004E545D">
          <w:rPr>
            <w:rStyle w:val="Hyperlink"/>
            <w:rFonts w:asciiTheme="majorHAnsi" w:hAnsiTheme="majorHAnsi"/>
            <w:b w:val="0"/>
            <w:bCs w:val="0"/>
            <w:spacing w:val="-3"/>
            <w:kern w:val="28"/>
            <w:sz w:val="24"/>
            <w:szCs w:val="24"/>
            <w:lang w:eastAsia="en-US"/>
          </w:rPr>
          <w:t>Ethnicity pay gap reporting</w:t>
        </w:r>
      </w:hyperlink>
      <w:r>
        <w:rPr>
          <w:rFonts w:asciiTheme="majorHAnsi" w:hAnsiTheme="majorHAnsi"/>
          <w:b w:val="0"/>
          <w:bCs w:val="0"/>
          <w:color w:val="auto"/>
          <w:spacing w:val="-3"/>
          <w:kern w:val="28"/>
          <w:sz w:val="24"/>
          <w:szCs w:val="24"/>
          <w:lang w:eastAsia="en-US"/>
        </w:rPr>
        <w:t>.</w:t>
      </w:r>
    </w:p>
    <w:p w14:paraId="26E3A94F" w14:textId="77777777" w:rsidR="00AB36A6" w:rsidRDefault="00AB36A6"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4E1A9F32" w14:textId="08AADDCE" w:rsidR="00AB36A6" w:rsidRPr="00AB36A6" w:rsidRDefault="00AB36A6" w:rsidP="00EF58D2">
      <w:pPr>
        <w:pStyle w:val="Heading1"/>
        <w:shd w:val="clear" w:color="auto" w:fill="FFFFFF"/>
        <w:spacing w:before="0" w:beforeAutospacing="0" w:after="0" w:afterAutospacing="0"/>
        <w:rPr>
          <w:rFonts w:ascii="Century Gothic" w:hAnsi="Century Gothic"/>
          <w:color w:val="1F4E79" w:themeColor="accent5" w:themeShade="80"/>
          <w:kern w:val="28"/>
          <w:sz w:val="28"/>
          <w:szCs w:val="28"/>
          <w:lang w:eastAsia="en-US"/>
        </w:rPr>
      </w:pPr>
      <w:r w:rsidRPr="00AB36A6">
        <w:rPr>
          <w:rFonts w:ascii="Century Gothic" w:hAnsi="Century Gothic"/>
          <w:color w:val="1F4E79" w:themeColor="accent5" w:themeShade="80"/>
          <w:kern w:val="28"/>
          <w:sz w:val="28"/>
          <w:szCs w:val="28"/>
          <w:lang w:eastAsia="en-US"/>
        </w:rPr>
        <w:t>Resources</w:t>
      </w:r>
    </w:p>
    <w:p w14:paraId="6B25D14E" w14:textId="77777777" w:rsidR="00EF58D2" w:rsidRDefault="00EF58D2"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7F3E8400" w14:textId="379D6C6E" w:rsidR="00AB36A6" w:rsidRDefault="00AB36A6"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CIPD: </w:t>
      </w:r>
      <w:hyperlink r:id="rId12" w:history="1">
        <w:r w:rsidRPr="00AB36A6">
          <w:rPr>
            <w:rStyle w:val="Hyperlink"/>
            <w:rFonts w:asciiTheme="majorHAnsi" w:hAnsiTheme="majorHAnsi"/>
            <w:b w:val="0"/>
            <w:bCs w:val="0"/>
            <w:spacing w:val="-3"/>
            <w:kern w:val="28"/>
            <w:sz w:val="24"/>
            <w:szCs w:val="24"/>
            <w:lang w:eastAsia="en-US"/>
          </w:rPr>
          <w:t>Rewards</w:t>
        </w:r>
      </w:hyperlink>
      <w:r>
        <w:rPr>
          <w:rFonts w:asciiTheme="majorHAnsi" w:hAnsiTheme="majorHAnsi"/>
          <w:b w:val="0"/>
          <w:bCs w:val="0"/>
          <w:color w:val="auto"/>
          <w:spacing w:val="-3"/>
          <w:kern w:val="28"/>
          <w:sz w:val="24"/>
          <w:szCs w:val="24"/>
          <w:lang w:eastAsia="en-US"/>
        </w:rPr>
        <w:t>.</w:t>
      </w:r>
    </w:p>
    <w:p w14:paraId="0F75558F" w14:textId="3143FC86" w:rsidR="00716B8D" w:rsidRDefault="00716B8D"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ACAS:</w:t>
      </w:r>
      <w:hyperlink r:id="rId13" w:history="1">
        <w:r w:rsidRPr="00716B8D">
          <w:rPr>
            <w:rStyle w:val="Hyperlink"/>
            <w:rFonts w:asciiTheme="majorHAnsi" w:hAnsiTheme="majorHAnsi"/>
            <w:b w:val="0"/>
            <w:bCs w:val="0"/>
            <w:spacing w:val="-3"/>
            <w:kern w:val="28"/>
            <w:sz w:val="24"/>
            <w:szCs w:val="24"/>
            <w:lang w:eastAsia="en-US"/>
          </w:rPr>
          <w:t xml:space="preserve"> Pay and Hours</w:t>
        </w:r>
      </w:hyperlink>
      <w:r>
        <w:rPr>
          <w:rFonts w:asciiTheme="majorHAnsi" w:hAnsiTheme="majorHAnsi"/>
          <w:b w:val="0"/>
          <w:bCs w:val="0"/>
          <w:color w:val="auto"/>
          <w:spacing w:val="-3"/>
          <w:kern w:val="28"/>
          <w:sz w:val="24"/>
          <w:szCs w:val="24"/>
          <w:lang w:eastAsia="en-US"/>
        </w:rPr>
        <w:t>.</w:t>
      </w:r>
    </w:p>
    <w:p w14:paraId="4D273A80" w14:textId="7BD971BE" w:rsidR="00716B8D" w:rsidRDefault="00716B8D"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ACAS: </w:t>
      </w:r>
      <w:hyperlink r:id="rId14" w:history="1">
        <w:r w:rsidRPr="00716B8D">
          <w:rPr>
            <w:rStyle w:val="Hyperlink"/>
            <w:rFonts w:asciiTheme="majorHAnsi" w:hAnsiTheme="majorHAnsi"/>
            <w:b w:val="0"/>
            <w:bCs w:val="0"/>
            <w:spacing w:val="-3"/>
            <w:kern w:val="28"/>
            <w:sz w:val="24"/>
            <w:szCs w:val="24"/>
            <w:lang w:eastAsia="en-US"/>
          </w:rPr>
          <w:t>Minimum Wage</w:t>
        </w:r>
      </w:hyperlink>
      <w:r>
        <w:rPr>
          <w:rFonts w:asciiTheme="majorHAnsi" w:hAnsiTheme="majorHAnsi"/>
          <w:b w:val="0"/>
          <w:bCs w:val="0"/>
          <w:color w:val="auto"/>
          <w:spacing w:val="-3"/>
          <w:kern w:val="28"/>
          <w:sz w:val="24"/>
          <w:szCs w:val="24"/>
          <w:lang w:eastAsia="en-US"/>
        </w:rPr>
        <w:t>.</w:t>
      </w:r>
    </w:p>
    <w:p w14:paraId="36C3D6BE" w14:textId="13726ADB" w:rsidR="00AB36A6" w:rsidRDefault="00716B8D"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ACAS: </w:t>
      </w:r>
      <w:hyperlink r:id="rId15" w:history="1">
        <w:r w:rsidRPr="00716B8D">
          <w:rPr>
            <w:rStyle w:val="Hyperlink"/>
            <w:rFonts w:asciiTheme="majorHAnsi" w:hAnsiTheme="majorHAnsi"/>
            <w:b w:val="0"/>
            <w:bCs w:val="0"/>
            <w:spacing w:val="-3"/>
            <w:kern w:val="28"/>
            <w:sz w:val="24"/>
            <w:szCs w:val="24"/>
            <w:lang w:eastAsia="en-US"/>
          </w:rPr>
          <w:t>Equal Pay.</w:t>
        </w:r>
      </w:hyperlink>
    </w:p>
    <w:p w14:paraId="4178D2FC" w14:textId="77777777" w:rsidR="00AB36A6" w:rsidRDefault="00AB36A6" w:rsidP="00EF58D2">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bookmarkEnd w:id="3"/>
    <w:p w14:paraId="37300ECD" w14:textId="77777777" w:rsidR="00D70CFD" w:rsidRPr="00D70CFD" w:rsidRDefault="00D70CFD" w:rsidP="00D70CFD">
      <w:pPr>
        <w:shd w:val="clear" w:color="auto" w:fill="FFFFFF"/>
        <w:spacing w:line="276" w:lineRule="auto"/>
        <w:outlineLvl w:val="0"/>
        <w:rPr>
          <w:rFonts w:ascii="Century Gothic" w:hAnsi="Century Gothic"/>
          <w:b/>
          <w:bCs/>
          <w:color w:val="1F4E79" w:themeColor="accent5" w:themeShade="80"/>
          <w:spacing w:val="-3"/>
          <w:sz w:val="32"/>
          <w:szCs w:val="32"/>
        </w:rPr>
      </w:pPr>
      <w:r w:rsidRPr="00D70CFD">
        <w:rPr>
          <w:rFonts w:ascii="Century Gothic" w:hAnsi="Century Gothic"/>
          <w:b/>
          <w:bCs/>
          <w:color w:val="1F4E79" w:themeColor="accent5" w:themeShade="80"/>
          <w:spacing w:val="-3"/>
          <w:sz w:val="32"/>
          <w:szCs w:val="32"/>
        </w:rPr>
        <w:t>Disclaimer &amp; Legal</w:t>
      </w:r>
    </w:p>
    <w:p w14:paraId="49B49607"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2FEC764B"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1D82D65E"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3F6693B0"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D3CA1F9"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7A1EC1E4"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w:t>
      </w:r>
      <w:r w:rsidRPr="00D70CFD">
        <w:rPr>
          <w:rFonts w:asciiTheme="majorHAnsi" w:hAnsiTheme="majorHAnsi"/>
          <w:color w:val="auto"/>
          <w:spacing w:val="-3"/>
          <w:szCs w:val="24"/>
        </w:rPr>
        <w:lastRenderedPageBreak/>
        <w:t xml:space="preserve">have included links to regulatory guidance, and you can find pro bono support using the Charity Excellence Help Finder. </w:t>
      </w:r>
    </w:p>
    <w:p w14:paraId="09015260"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p>
    <w:p w14:paraId="12C1DACF" w14:textId="77777777" w:rsidR="00D70CFD" w:rsidRPr="00D70CFD" w:rsidRDefault="00D70CFD" w:rsidP="00D70CFD">
      <w:pPr>
        <w:shd w:val="clear" w:color="auto" w:fill="FFFFFF"/>
        <w:spacing w:line="276" w:lineRule="auto"/>
        <w:outlineLvl w:val="0"/>
        <w:rPr>
          <w:rFonts w:asciiTheme="majorHAnsi" w:hAnsiTheme="majorHAnsi"/>
          <w:color w:val="auto"/>
          <w:spacing w:val="-3"/>
          <w:szCs w:val="24"/>
        </w:rPr>
      </w:pPr>
      <w:r w:rsidRPr="00D70CFD">
        <w:rPr>
          <w:rFonts w:asciiTheme="majorHAnsi" w:hAnsiTheme="majorHAnsi"/>
          <w:color w:val="auto"/>
          <w:spacing w:val="-3"/>
          <w:szCs w:val="24"/>
        </w:rPr>
        <w:t xml:space="preserve">Ian </w:t>
      </w:r>
    </w:p>
    <w:p w14:paraId="758310E2" w14:textId="77777777" w:rsidR="00BC735F" w:rsidRDefault="00BC735F" w:rsidP="00802E4A">
      <w:pPr>
        <w:rPr>
          <w:rFonts w:ascii="Century Gothic" w:eastAsia="Calibri" w:hAnsi="Century Gothic" w:cs="Calibri"/>
          <w:b/>
          <w:bCs/>
          <w:noProof/>
          <w:szCs w:val="24"/>
          <w:lang w:eastAsia="en-GB"/>
        </w:rPr>
      </w:pPr>
    </w:p>
    <w:p w14:paraId="34A08B11" w14:textId="010D47AB" w:rsidR="00802E4A" w:rsidRPr="00BF3578" w:rsidRDefault="00802E4A" w:rsidP="00802E4A">
      <w:pPr>
        <w:rPr>
          <w:rFonts w:ascii="Century Gothic" w:eastAsia="Calibri" w:hAnsi="Century Gothic" w:cs="Calibri"/>
          <w:b/>
          <w:bCs/>
          <w:noProof/>
          <w:color w:val="1F4E79" w:themeColor="accent5" w:themeShade="80"/>
          <w:szCs w:val="24"/>
          <w:lang w:eastAsia="en-GB"/>
        </w:rPr>
      </w:pPr>
      <w:r w:rsidRPr="00BF3578">
        <w:rPr>
          <w:rFonts w:ascii="Century Gothic" w:eastAsia="Calibri" w:hAnsi="Century Gothic" w:cs="Calibri"/>
          <w:b/>
          <w:bCs/>
          <w:noProof/>
          <w:color w:val="1F4E79" w:themeColor="accent5" w:themeShade="80"/>
          <w:szCs w:val="24"/>
          <w:lang w:eastAsia="en-GB"/>
        </w:rPr>
        <w:t xml:space="preserve">Ian McLintock </w:t>
      </w:r>
      <w:r w:rsidRPr="00BF3578">
        <w:rPr>
          <w:rFonts w:ascii="Symbol" w:eastAsia="Calibri" w:hAnsi="Symbol" w:cs="Calibri"/>
          <w:b/>
          <w:bCs/>
          <w:noProof/>
          <w:color w:val="1F4E79" w:themeColor="accent5" w:themeShade="80"/>
          <w:szCs w:val="24"/>
          <w:lang w:eastAsia="en-GB"/>
        </w:rPr>
        <w:t>½</w:t>
      </w:r>
      <w:r w:rsidRPr="00BF3578">
        <w:rPr>
          <w:rFonts w:ascii="Century Gothic" w:eastAsia="Calibri" w:hAnsi="Century Gothic" w:cs="Calibri"/>
          <w:b/>
          <w:bCs/>
          <w:noProof/>
          <w:color w:val="1F4E79" w:themeColor="accent5" w:themeShade="80"/>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3C93CB30" w14:textId="77777777" w:rsidR="00802E4A" w:rsidRPr="00322C33" w:rsidRDefault="00802E4A" w:rsidP="00802E4A">
      <w:pPr>
        <w:rPr>
          <w:rStyle w:val="Hyperlink"/>
          <w:rFonts w:ascii="Century Gothic" w:eastAsia="Calibri" w:hAnsi="Century Gothic" w:cs="Calibri"/>
          <w:noProof/>
          <w:color w:val="1F4E79" w:themeColor="accent5" w:themeShade="80"/>
          <w:lang w:eastAsia="en-GB"/>
        </w:rPr>
      </w:pPr>
      <w:hyperlink r:id="rId16" w:history="1">
        <w:r w:rsidRPr="00322C33">
          <w:rPr>
            <w:rStyle w:val="Hyperlink"/>
            <w:rFonts w:ascii="Century Gothic" w:eastAsia="Calibri" w:hAnsi="Century Gothic" w:cs="Calibri"/>
            <w:noProof/>
            <w:lang w:eastAsia="en-GB"/>
          </w:rPr>
          <w:t>ian@charityexcellence.co.uk</w:t>
        </w:r>
      </w:hyperlink>
    </w:p>
    <w:p w14:paraId="0CE6CBC7" w14:textId="77777777" w:rsidR="00802E4A" w:rsidRDefault="00802E4A" w:rsidP="00802E4A">
      <w:pPr>
        <w:rPr>
          <w:rStyle w:val="Hyperlink"/>
          <w:rFonts w:ascii="Century Gothic" w:eastAsia="Calibri" w:hAnsi="Century Gothic" w:cs="Calibri"/>
          <w:noProof/>
          <w:color w:val="1F4E79" w:themeColor="accent5" w:themeShade="80"/>
          <w:lang w:eastAsia="en-GB"/>
        </w:rPr>
      </w:pPr>
      <w:hyperlink r:id="rId17" w:history="1">
        <w:r w:rsidRPr="00322C33">
          <w:rPr>
            <w:rStyle w:val="Hyperlink"/>
            <w:rFonts w:ascii="Century Gothic" w:eastAsia="Calibri" w:hAnsi="Century Gothic" w:cs="Calibri"/>
            <w:noProof/>
            <w:lang w:eastAsia="en-GB"/>
          </w:rPr>
          <w:t>www.charityexcellence.co.uk</w:t>
        </w:r>
      </w:hyperlink>
      <w:r w:rsidRPr="00322C33">
        <w:rPr>
          <w:rStyle w:val="Hyperlink"/>
          <w:rFonts w:ascii="Century Gothic" w:eastAsia="Calibri" w:hAnsi="Century Gothic" w:cs="Calibri"/>
          <w:noProof/>
          <w:color w:val="1F4E79" w:themeColor="accent5" w:themeShade="80"/>
          <w:lang w:eastAsia="en-GB"/>
        </w:rPr>
        <w:t xml:space="preserve">  </w:t>
      </w:r>
      <w:bookmarkEnd w:id="0"/>
      <w:bookmarkEnd w:id="2"/>
    </w:p>
    <w:p w14:paraId="66FDD686" w14:textId="77777777" w:rsidR="00471A5C" w:rsidRDefault="00471A5C" w:rsidP="00802E4A">
      <w:pPr>
        <w:rPr>
          <w:rStyle w:val="Hyperlink"/>
          <w:rFonts w:ascii="Century Gothic" w:eastAsia="Calibri" w:hAnsi="Century Gothic" w:cs="Calibri"/>
          <w:noProof/>
          <w:color w:val="1F4E79" w:themeColor="accent5" w:themeShade="80"/>
          <w:lang w:eastAsia="en-GB"/>
        </w:rPr>
      </w:pPr>
    </w:p>
    <w:p w14:paraId="4D8738FF" w14:textId="5155C5AC" w:rsidR="00471A5C" w:rsidRPr="00471A5C" w:rsidRDefault="00471A5C" w:rsidP="00802E4A">
      <w:pPr>
        <w:rPr>
          <w:rFonts w:asciiTheme="majorHAnsi" w:hAnsiTheme="majorHAnsi"/>
          <w:color w:val="auto"/>
        </w:rPr>
      </w:pPr>
      <w:r w:rsidRPr="00471A5C">
        <w:rPr>
          <w:rStyle w:val="Hyperlink"/>
          <w:rFonts w:asciiTheme="majorHAnsi" w:eastAsia="Calibri" w:hAnsiTheme="majorHAnsi"/>
          <w:noProof/>
          <w:color w:val="auto"/>
          <w:u w:val="none"/>
          <w:lang w:eastAsia="en-GB"/>
        </w:rPr>
        <w:t xml:space="preserve">Iteration: </w:t>
      </w:r>
      <w:r w:rsidR="00683B98">
        <w:rPr>
          <w:rStyle w:val="Hyperlink"/>
          <w:rFonts w:asciiTheme="majorHAnsi" w:eastAsia="Calibri" w:hAnsiTheme="majorHAnsi"/>
          <w:noProof/>
          <w:color w:val="auto"/>
          <w:u w:val="none"/>
          <w:lang w:eastAsia="en-GB"/>
        </w:rPr>
        <w:t>October</w:t>
      </w:r>
      <w:r w:rsidRPr="00471A5C">
        <w:rPr>
          <w:rStyle w:val="Hyperlink"/>
          <w:rFonts w:asciiTheme="majorHAnsi" w:eastAsia="Calibri" w:hAnsiTheme="majorHAnsi"/>
          <w:noProof/>
          <w:color w:val="auto"/>
          <w:u w:val="none"/>
          <w:lang w:eastAsia="en-GB"/>
        </w:rPr>
        <w:t xml:space="preserve"> </w:t>
      </w:r>
      <w:r w:rsidR="00683B98">
        <w:rPr>
          <w:rStyle w:val="Hyperlink"/>
          <w:rFonts w:asciiTheme="majorHAnsi" w:eastAsia="Calibri" w:hAnsiTheme="majorHAnsi"/>
          <w:noProof/>
          <w:color w:val="auto"/>
          <w:u w:val="none"/>
          <w:lang w:eastAsia="en-GB"/>
        </w:rPr>
        <w:t>20</w:t>
      </w:r>
      <w:r w:rsidRPr="00471A5C">
        <w:rPr>
          <w:rStyle w:val="Hyperlink"/>
          <w:rFonts w:asciiTheme="majorHAnsi" w:eastAsia="Calibri" w:hAnsiTheme="majorHAnsi"/>
          <w:noProof/>
          <w:color w:val="auto"/>
          <w:u w:val="none"/>
          <w:lang w:eastAsia="en-GB"/>
        </w:rPr>
        <w:t>23</w:t>
      </w:r>
    </w:p>
    <w:sectPr w:rsidR="00471A5C" w:rsidRPr="00471A5C" w:rsidSect="008D57C6">
      <w:headerReference w:type="default" r:id="rId18"/>
      <w:footerReference w:type="default" r:id="rId19"/>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05AC" w14:textId="77777777" w:rsidR="008E7769" w:rsidRDefault="008E7769" w:rsidP="007916A8">
      <w:r>
        <w:separator/>
      </w:r>
    </w:p>
  </w:endnote>
  <w:endnote w:type="continuationSeparator" w:id="0">
    <w:p w14:paraId="490D17E0" w14:textId="77777777" w:rsidR="008E7769" w:rsidRDefault="008E7769"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502821659"/>
  <w:p w14:paraId="1098153D" w14:textId="018CBC10" w:rsidR="00185FCB" w:rsidRPr="00790A45" w:rsidRDefault="00C71118" w:rsidP="00790A45">
    <w:pPr>
      <w:tabs>
        <w:tab w:val="center" w:pos="4513"/>
        <w:tab w:val="right" w:pos="9026"/>
      </w:tabs>
      <w:jc w:val="center"/>
      <w:rPr>
        <w:rFonts w:asciiTheme="majorHAnsi" w:eastAsia="Times New Roman" w:hAnsiTheme="majorHAnsi"/>
        <w:color w:val="auto"/>
        <w:spacing w:val="0"/>
        <w:kern w:val="0"/>
        <w:sz w:val="20"/>
        <w:szCs w:val="20"/>
      </w:rPr>
    </w:pPr>
    <w:r w:rsidRPr="00790A45">
      <w:rPr>
        <w:rFonts w:asciiTheme="majorHAnsi" w:eastAsia="Calibri" w:hAnsiTheme="majorHAnsi"/>
        <w:color w:val="323E4F"/>
        <w:sz w:val="20"/>
        <w:szCs w:val="20"/>
      </w:rPr>
      <w:fldChar w:fldCharType="begin"/>
    </w:r>
    <w:r w:rsidRPr="00790A45">
      <w:rPr>
        <w:rFonts w:asciiTheme="majorHAnsi" w:eastAsia="Calibri" w:hAnsiTheme="majorHAnsi"/>
        <w:color w:val="323E4F"/>
        <w:sz w:val="20"/>
        <w:szCs w:val="20"/>
      </w:rPr>
      <w:instrText>HYPERLINK "https://www.charityexcellence.co.uk/"</w:instrText>
    </w:r>
    <w:r w:rsidRPr="00790A45">
      <w:rPr>
        <w:rFonts w:asciiTheme="majorHAnsi" w:eastAsia="Calibri" w:hAnsiTheme="majorHAnsi"/>
        <w:color w:val="323E4F"/>
        <w:sz w:val="20"/>
        <w:szCs w:val="20"/>
      </w:rPr>
    </w:r>
    <w:r w:rsidRPr="00790A45">
      <w:rPr>
        <w:rFonts w:asciiTheme="majorHAnsi" w:eastAsia="Calibri" w:hAnsiTheme="majorHAnsi"/>
        <w:color w:val="323E4F"/>
        <w:sz w:val="20"/>
        <w:szCs w:val="20"/>
      </w:rPr>
      <w:fldChar w:fldCharType="separate"/>
    </w:r>
    <w:r w:rsidRPr="00790A45">
      <w:rPr>
        <w:rFonts w:asciiTheme="majorHAnsi" w:eastAsia="Calibri" w:hAnsiTheme="majorHAnsi"/>
        <w:color w:val="0563C1"/>
        <w:sz w:val="20"/>
        <w:szCs w:val="20"/>
        <w:u w:val="single"/>
      </w:rPr>
      <w:t>Charity Excellence</w:t>
    </w:r>
    <w:r w:rsidRPr="00790A45">
      <w:rPr>
        <w:rFonts w:asciiTheme="majorHAnsi" w:eastAsia="Calibri" w:hAnsiTheme="majorHAnsi"/>
        <w:color w:val="0563C1"/>
        <w:sz w:val="20"/>
        <w:szCs w:val="20"/>
        <w:u w:val="single"/>
      </w:rPr>
      <w:fldChar w:fldCharType="end"/>
    </w:r>
    <w:r w:rsidRPr="00790A45">
      <w:rPr>
        <w:rFonts w:asciiTheme="majorHAnsi" w:eastAsia="Calibri" w:hAnsiTheme="majorHAnsi"/>
        <w:color w:val="323E4F"/>
        <w:sz w:val="20"/>
        <w:szCs w:val="20"/>
      </w:rPr>
      <w:t xml:space="preserve"> a free, one-stop-shop for anything a non-profit needs</w:t>
    </w:r>
    <w:r w:rsidR="00790A45">
      <w:rPr>
        <w:rFonts w:asciiTheme="majorHAnsi" w:eastAsia="Calibri" w:hAnsiTheme="majorHAnsi"/>
        <w:color w:val="323E4F"/>
        <w:sz w:val="20"/>
        <w:szCs w:val="20"/>
      </w:rPr>
      <w:t xml:space="preserve">. </w:t>
    </w:r>
    <w:r w:rsidRPr="00790A45">
      <w:rPr>
        <w:rFonts w:asciiTheme="majorHAnsi" w:eastAsia="Times New Roman" w:hAnsiTheme="majorHAnsi"/>
        <w:color w:val="auto"/>
        <w:spacing w:val="0"/>
        <w:kern w:val="0"/>
        <w:sz w:val="20"/>
        <w:szCs w:val="20"/>
      </w:rPr>
      <w:t xml:space="preserve">Alumna </w:t>
    </w:r>
    <w:r w:rsidRPr="00790A45">
      <w:rPr>
        <w:rFonts w:asciiTheme="majorHAnsi" w:eastAsia="Times New Roman" w:hAnsiTheme="majorHAnsi"/>
        <w:color w:val="0B0C0C"/>
        <w:spacing w:val="0"/>
        <w:kern w:val="0"/>
        <w:sz w:val="20"/>
        <w:szCs w:val="20"/>
        <w:shd w:val="clear" w:color="auto" w:fill="FFFFFF"/>
      </w:rPr>
      <w:t>© 20</w:t>
    </w:r>
    <w:bookmarkEnd w:id="4"/>
    <w:r w:rsidRPr="00790A45">
      <w:rPr>
        <w:rFonts w:asciiTheme="majorHAnsi" w:eastAsia="Times New Roman" w:hAnsiTheme="majorHAnsi"/>
        <w:color w:val="0B0C0C"/>
        <w:spacing w:val="0"/>
        <w:kern w:val="0"/>
        <w:sz w:val="20"/>
        <w:szCs w:val="20"/>
        <w:shd w:val="clear" w:color="auto" w:fill="FFFFFF"/>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F279" w14:textId="77777777" w:rsidR="008E7769" w:rsidRDefault="008E7769" w:rsidP="007916A8">
      <w:r>
        <w:separator/>
      </w:r>
    </w:p>
  </w:footnote>
  <w:footnote w:type="continuationSeparator" w:id="0">
    <w:p w14:paraId="66EE20AD" w14:textId="77777777" w:rsidR="008E7769" w:rsidRDefault="008E7769"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C1001"/>
    <w:multiLevelType w:val="hybridMultilevel"/>
    <w:tmpl w:val="457E7E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DC6729"/>
    <w:multiLevelType w:val="hybridMultilevel"/>
    <w:tmpl w:val="D12C3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DA635B"/>
    <w:multiLevelType w:val="hybridMultilevel"/>
    <w:tmpl w:val="D9A42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E739FD"/>
    <w:multiLevelType w:val="hybridMultilevel"/>
    <w:tmpl w:val="B06EEC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0"/>
  </w:num>
  <w:num w:numId="2" w16cid:durableId="1934704107">
    <w:abstractNumId w:val="41"/>
  </w:num>
  <w:num w:numId="3" w16cid:durableId="1181578704">
    <w:abstractNumId w:val="18"/>
  </w:num>
  <w:num w:numId="4" w16cid:durableId="1331635257">
    <w:abstractNumId w:val="28"/>
  </w:num>
  <w:num w:numId="5" w16cid:durableId="1468814416">
    <w:abstractNumId w:val="19"/>
  </w:num>
  <w:num w:numId="6" w16cid:durableId="251549325">
    <w:abstractNumId w:val="37"/>
  </w:num>
  <w:num w:numId="7" w16cid:durableId="200899761">
    <w:abstractNumId w:val="22"/>
  </w:num>
  <w:num w:numId="8" w16cid:durableId="1878393269">
    <w:abstractNumId w:val="34"/>
  </w:num>
  <w:num w:numId="9" w16cid:durableId="1660575661">
    <w:abstractNumId w:val="35"/>
  </w:num>
  <w:num w:numId="10" w16cid:durableId="1818834001">
    <w:abstractNumId w:val="3"/>
  </w:num>
  <w:num w:numId="11" w16cid:durableId="1129516877">
    <w:abstractNumId w:val="17"/>
  </w:num>
  <w:num w:numId="12" w16cid:durableId="1410618880">
    <w:abstractNumId w:val="38"/>
  </w:num>
  <w:num w:numId="13" w16cid:durableId="35665379">
    <w:abstractNumId w:val="23"/>
  </w:num>
  <w:num w:numId="14" w16cid:durableId="1400519321">
    <w:abstractNumId w:val="9"/>
  </w:num>
  <w:num w:numId="15" w16cid:durableId="329256783">
    <w:abstractNumId w:val="1"/>
  </w:num>
  <w:num w:numId="16" w16cid:durableId="592589935">
    <w:abstractNumId w:val="42"/>
  </w:num>
  <w:num w:numId="17" w16cid:durableId="447940408">
    <w:abstractNumId w:val="44"/>
  </w:num>
  <w:num w:numId="18" w16cid:durableId="1446847769">
    <w:abstractNumId w:val="25"/>
  </w:num>
  <w:num w:numId="19" w16cid:durableId="188759473">
    <w:abstractNumId w:val="43"/>
  </w:num>
  <w:num w:numId="20" w16cid:durableId="2033334681">
    <w:abstractNumId w:val="29"/>
  </w:num>
  <w:num w:numId="21" w16cid:durableId="1774353327">
    <w:abstractNumId w:val="2"/>
  </w:num>
  <w:num w:numId="22" w16cid:durableId="822938562">
    <w:abstractNumId w:val="14"/>
  </w:num>
  <w:num w:numId="23" w16cid:durableId="1371296527">
    <w:abstractNumId w:val="30"/>
  </w:num>
  <w:num w:numId="24" w16cid:durableId="1424302577">
    <w:abstractNumId w:val="39"/>
  </w:num>
  <w:num w:numId="25" w16cid:durableId="922884472">
    <w:abstractNumId w:val="27"/>
  </w:num>
  <w:num w:numId="26" w16cid:durableId="171378338">
    <w:abstractNumId w:val="15"/>
  </w:num>
  <w:num w:numId="27" w16cid:durableId="1223326248">
    <w:abstractNumId w:val="7"/>
  </w:num>
  <w:num w:numId="28" w16cid:durableId="404106874">
    <w:abstractNumId w:val="4"/>
  </w:num>
  <w:num w:numId="29" w16cid:durableId="862744642">
    <w:abstractNumId w:val="36"/>
  </w:num>
  <w:num w:numId="30" w16cid:durableId="70740090">
    <w:abstractNumId w:val="31"/>
  </w:num>
  <w:num w:numId="31" w16cid:durableId="673843271">
    <w:abstractNumId w:val="18"/>
  </w:num>
  <w:num w:numId="32" w16cid:durableId="1425884309">
    <w:abstractNumId w:val="16"/>
  </w:num>
  <w:num w:numId="33" w16cid:durableId="1283994821">
    <w:abstractNumId w:val="10"/>
  </w:num>
  <w:num w:numId="34" w16cid:durableId="1686247198">
    <w:abstractNumId w:val="32"/>
  </w:num>
  <w:num w:numId="35" w16cid:durableId="147988612">
    <w:abstractNumId w:val="40"/>
  </w:num>
  <w:num w:numId="36" w16cid:durableId="1224760112">
    <w:abstractNumId w:val="11"/>
  </w:num>
  <w:num w:numId="37" w16cid:durableId="680551251">
    <w:abstractNumId w:val="13"/>
  </w:num>
  <w:num w:numId="38" w16cid:durableId="1060445289">
    <w:abstractNumId w:val="8"/>
  </w:num>
  <w:num w:numId="39" w16cid:durableId="1610359512">
    <w:abstractNumId w:val="0"/>
  </w:num>
  <w:num w:numId="40" w16cid:durableId="911046048">
    <w:abstractNumId w:val="33"/>
  </w:num>
  <w:num w:numId="41" w16cid:durableId="1617173273">
    <w:abstractNumId w:val="12"/>
  </w:num>
  <w:num w:numId="42" w16cid:durableId="779420974">
    <w:abstractNumId w:val="26"/>
  </w:num>
  <w:num w:numId="43" w16cid:durableId="300236311">
    <w:abstractNumId w:val="5"/>
  </w:num>
  <w:num w:numId="44" w16cid:durableId="1495611646">
    <w:abstractNumId w:val="24"/>
  </w:num>
  <w:num w:numId="45" w16cid:durableId="762336662">
    <w:abstractNumId w:val="6"/>
  </w:num>
  <w:num w:numId="46" w16cid:durableId="73192834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4EC8"/>
    <w:rsid w:val="000B266A"/>
    <w:rsid w:val="000B3D4E"/>
    <w:rsid w:val="000B5420"/>
    <w:rsid w:val="000C114F"/>
    <w:rsid w:val="000D328B"/>
    <w:rsid w:val="000D5258"/>
    <w:rsid w:val="000D5A72"/>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0956"/>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4B1A"/>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17EE"/>
    <w:rsid w:val="001D3B0B"/>
    <w:rsid w:val="001D53B2"/>
    <w:rsid w:val="001D62EA"/>
    <w:rsid w:val="001D666E"/>
    <w:rsid w:val="001D77B6"/>
    <w:rsid w:val="001E1CBF"/>
    <w:rsid w:val="001E2018"/>
    <w:rsid w:val="001E4CC8"/>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526C"/>
    <w:rsid w:val="00257CA6"/>
    <w:rsid w:val="0026222F"/>
    <w:rsid w:val="0027063E"/>
    <w:rsid w:val="002709D9"/>
    <w:rsid w:val="002777E3"/>
    <w:rsid w:val="002802E6"/>
    <w:rsid w:val="00280736"/>
    <w:rsid w:val="00287FF6"/>
    <w:rsid w:val="002928D8"/>
    <w:rsid w:val="00294D02"/>
    <w:rsid w:val="002A333F"/>
    <w:rsid w:val="002A344B"/>
    <w:rsid w:val="002A49E4"/>
    <w:rsid w:val="002A6352"/>
    <w:rsid w:val="002A7412"/>
    <w:rsid w:val="002B0F9D"/>
    <w:rsid w:val="002B1013"/>
    <w:rsid w:val="002B2116"/>
    <w:rsid w:val="002B56BE"/>
    <w:rsid w:val="002B73FC"/>
    <w:rsid w:val="002B7B61"/>
    <w:rsid w:val="002C0FB2"/>
    <w:rsid w:val="002C1D34"/>
    <w:rsid w:val="002C23E6"/>
    <w:rsid w:val="002C37A6"/>
    <w:rsid w:val="002D0727"/>
    <w:rsid w:val="002D463A"/>
    <w:rsid w:val="002D4EA4"/>
    <w:rsid w:val="002E0F22"/>
    <w:rsid w:val="002E2209"/>
    <w:rsid w:val="002E2652"/>
    <w:rsid w:val="002E5C2D"/>
    <w:rsid w:val="002E6186"/>
    <w:rsid w:val="002F08E7"/>
    <w:rsid w:val="002F0964"/>
    <w:rsid w:val="002F0DAB"/>
    <w:rsid w:val="002F14AB"/>
    <w:rsid w:val="002F16D1"/>
    <w:rsid w:val="002F218D"/>
    <w:rsid w:val="002F285E"/>
    <w:rsid w:val="0030250E"/>
    <w:rsid w:val="00306C34"/>
    <w:rsid w:val="00313447"/>
    <w:rsid w:val="00313898"/>
    <w:rsid w:val="00316D19"/>
    <w:rsid w:val="00321E97"/>
    <w:rsid w:val="00325317"/>
    <w:rsid w:val="003259E9"/>
    <w:rsid w:val="00327A52"/>
    <w:rsid w:val="0033032A"/>
    <w:rsid w:val="00332CB2"/>
    <w:rsid w:val="00332DDF"/>
    <w:rsid w:val="0033322F"/>
    <w:rsid w:val="00334F1A"/>
    <w:rsid w:val="00344CCF"/>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2F20"/>
    <w:rsid w:val="003F43A9"/>
    <w:rsid w:val="003F586B"/>
    <w:rsid w:val="00401CD0"/>
    <w:rsid w:val="004027AD"/>
    <w:rsid w:val="0040582A"/>
    <w:rsid w:val="00407CC4"/>
    <w:rsid w:val="004110E8"/>
    <w:rsid w:val="00413E47"/>
    <w:rsid w:val="00414EC5"/>
    <w:rsid w:val="00416809"/>
    <w:rsid w:val="00416AA7"/>
    <w:rsid w:val="004224D4"/>
    <w:rsid w:val="00425952"/>
    <w:rsid w:val="00427CCB"/>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1A5C"/>
    <w:rsid w:val="00473DD9"/>
    <w:rsid w:val="004751A9"/>
    <w:rsid w:val="00482E50"/>
    <w:rsid w:val="00484749"/>
    <w:rsid w:val="00484EB0"/>
    <w:rsid w:val="00486284"/>
    <w:rsid w:val="00486A9D"/>
    <w:rsid w:val="004901A7"/>
    <w:rsid w:val="00492AB6"/>
    <w:rsid w:val="00495380"/>
    <w:rsid w:val="004A0099"/>
    <w:rsid w:val="004A319C"/>
    <w:rsid w:val="004A4003"/>
    <w:rsid w:val="004A6C8E"/>
    <w:rsid w:val="004B2F16"/>
    <w:rsid w:val="004B371E"/>
    <w:rsid w:val="004B4E4E"/>
    <w:rsid w:val="004B6219"/>
    <w:rsid w:val="004B6BAD"/>
    <w:rsid w:val="004B6BF5"/>
    <w:rsid w:val="004C5AFD"/>
    <w:rsid w:val="004D0CE6"/>
    <w:rsid w:val="004D0CFD"/>
    <w:rsid w:val="004D113C"/>
    <w:rsid w:val="004D18E6"/>
    <w:rsid w:val="004D4C7E"/>
    <w:rsid w:val="004D57B4"/>
    <w:rsid w:val="004D66FC"/>
    <w:rsid w:val="004D6A5E"/>
    <w:rsid w:val="004E0B7F"/>
    <w:rsid w:val="004E1C35"/>
    <w:rsid w:val="004E45C0"/>
    <w:rsid w:val="004E545D"/>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FFF"/>
    <w:rsid w:val="00564B0A"/>
    <w:rsid w:val="00566D1C"/>
    <w:rsid w:val="00571CAD"/>
    <w:rsid w:val="00572A9E"/>
    <w:rsid w:val="00574B97"/>
    <w:rsid w:val="00574F2E"/>
    <w:rsid w:val="0058017C"/>
    <w:rsid w:val="00583248"/>
    <w:rsid w:val="00587D65"/>
    <w:rsid w:val="005A1654"/>
    <w:rsid w:val="005A4617"/>
    <w:rsid w:val="005B042F"/>
    <w:rsid w:val="005B15E5"/>
    <w:rsid w:val="005B3785"/>
    <w:rsid w:val="005C3B28"/>
    <w:rsid w:val="005C5790"/>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411D"/>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2844"/>
    <w:rsid w:val="006838A4"/>
    <w:rsid w:val="00683B98"/>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6B8D"/>
    <w:rsid w:val="00717227"/>
    <w:rsid w:val="0071756B"/>
    <w:rsid w:val="00717D88"/>
    <w:rsid w:val="007208AC"/>
    <w:rsid w:val="007252A9"/>
    <w:rsid w:val="0073597F"/>
    <w:rsid w:val="00740244"/>
    <w:rsid w:val="00740B81"/>
    <w:rsid w:val="007427AA"/>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0A45"/>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A6"/>
    <w:rsid w:val="008434DC"/>
    <w:rsid w:val="008473A8"/>
    <w:rsid w:val="008504B5"/>
    <w:rsid w:val="008534BD"/>
    <w:rsid w:val="008560FF"/>
    <w:rsid w:val="00857476"/>
    <w:rsid w:val="0086120C"/>
    <w:rsid w:val="00861372"/>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C0E77"/>
    <w:rsid w:val="008C3D5D"/>
    <w:rsid w:val="008C63C0"/>
    <w:rsid w:val="008D0D96"/>
    <w:rsid w:val="008D2D71"/>
    <w:rsid w:val="008D4042"/>
    <w:rsid w:val="008D5359"/>
    <w:rsid w:val="008D57C6"/>
    <w:rsid w:val="008D707C"/>
    <w:rsid w:val="008E7769"/>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05FF"/>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70C1D"/>
    <w:rsid w:val="00A75FD8"/>
    <w:rsid w:val="00A77F32"/>
    <w:rsid w:val="00A84FBC"/>
    <w:rsid w:val="00A92D13"/>
    <w:rsid w:val="00A955F7"/>
    <w:rsid w:val="00A973F5"/>
    <w:rsid w:val="00AA3A73"/>
    <w:rsid w:val="00AA56F2"/>
    <w:rsid w:val="00AA7F61"/>
    <w:rsid w:val="00AB36A6"/>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07DC1"/>
    <w:rsid w:val="00B146ED"/>
    <w:rsid w:val="00B1703C"/>
    <w:rsid w:val="00B21C85"/>
    <w:rsid w:val="00B22130"/>
    <w:rsid w:val="00B256E7"/>
    <w:rsid w:val="00B257C5"/>
    <w:rsid w:val="00B265AF"/>
    <w:rsid w:val="00B26E85"/>
    <w:rsid w:val="00B31B04"/>
    <w:rsid w:val="00B3203E"/>
    <w:rsid w:val="00B33FBB"/>
    <w:rsid w:val="00B35D85"/>
    <w:rsid w:val="00B3686B"/>
    <w:rsid w:val="00B405DF"/>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735F"/>
    <w:rsid w:val="00BD22FB"/>
    <w:rsid w:val="00BD2AE8"/>
    <w:rsid w:val="00BD5296"/>
    <w:rsid w:val="00BD5573"/>
    <w:rsid w:val="00BE0A80"/>
    <w:rsid w:val="00BF0DF5"/>
    <w:rsid w:val="00BF11BD"/>
    <w:rsid w:val="00BF11D5"/>
    <w:rsid w:val="00BF1EE7"/>
    <w:rsid w:val="00BF3578"/>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1118"/>
    <w:rsid w:val="00C73363"/>
    <w:rsid w:val="00C73535"/>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55BC"/>
    <w:rsid w:val="00CE63DC"/>
    <w:rsid w:val="00CF0058"/>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36C72"/>
    <w:rsid w:val="00D401F1"/>
    <w:rsid w:val="00D460A5"/>
    <w:rsid w:val="00D5209B"/>
    <w:rsid w:val="00D539CF"/>
    <w:rsid w:val="00D54BCD"/>
    <w:rsid w:val="00D559AF"/>
    <w:rsid w:val="00D574F8"/>
    <w:rsid w:val="00D61580"/>
    <w:rsid w:val="00D6238F"/>
    <w:rsid w:val="00D63D01"/>
    <w:rsid w:val="00D64100"/>
    <w:rsid w:val="00D66582"/>
    <w:rsid w:val="00D66EFB"/>
    <w:rsid w:val="00D70CFD"/>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E24FD"/>
    <w:rsid w:val="00DE5A7A"/>
    <w:rsid w:val="00DF0427"/>
    <w:rsid w:val="00DF0D4C"/>
    <w:rsid w:val="00DF4BE2"/>
    <w:rsid w:val="00DF6A53"/>
    <w:rsid w:val="00E01C6D"/>
    <w:rsid w:val="00E07375"/>
    <w:rsid w:val="00E07E01"/>
    <w:rsid w:val="00E16009"/>
    <w:rsid w:val="00E1797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3BA9"/>
    <w:rsid w:val="00EB43A3"/>
    <w:rsid w:val="00EB6FD7"/>
    <w:rsid w:val="00ED26D2"/>
    <w:rsid w:val="00ED3C77"/>
    <w:rsid w:val="00ED46FA"/>
    <w:rsid w:val="00ED6505"/>
    <w:rsid w:val="00ED6526"/>
    <w:rsid w:val="00EE1F8A"/>
    <w:rsid w:val="00EE3585"/>
    <w:rsid w:val="00EE369E"/>
    <w:rsid w:val="00EE39A5"/>
    <w:rsid w:val="00EF0706"/>
    <w:rsid w:val="00EF58D2"/>
    <w:rsid w:val="00EF5E68"/>
    <w:rsid w:val="00EF7411"/>
    <w:rsid w:val="00F005DF"/>
    <w:rsid w:val="00F00A12"/>
    <w:rsid w:val="00F01C29"/>
    <w:rsid w:val="00F12EB2"/>
    <w:rsid w:val="00F14F03"/>
    <w:rsid w:val="00F1560E"/>
    <w:rsid w:val="00F1585E"/>
    <w:rsid w:val="00F17778"/>
    <w:rsid w:val="00F2094B"/>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5987"/>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BodyTextIndent">
    <w:name w:val="Body Text Indent"/>
    <w:basedOn w:val="Normal"/>
    <w:link w:val="BodyTextIndentChar"/>
    <w:rsid w:val="00C73535"/>
    <w:pPr>
      <w:ind w:left="720"/>
    </w:pPr>
    <w:rPr>
      <w:rFonts w:ascii="Arial" w:eastAsia="Times New Roman" w:hAnsi="Arial" w:cs="Arial"/>
      <w:color w:val="auto"/>
      <w:spacing w:val="0"/>
      <w:kern w:val="0"/>
      <w:szCs w:val="24"/>
    </w:rPr>
  </w:style>
  <w:style w:type="character" w:customStyle="1" w:styleId="BodyTextIndentChar">
    <w:name w:val="Body Text Indent Char"/>
    <w:basedOn w:val="DefaultParagraphFont"/>
    <w:link w:val="BodyTextIndent"/>
    <w:rsid w:val="00C73535"/>
    <w:rPr>
      <w:rFonts w:ascii="Arial" w:eastAsia="Times New Roman" w:hAnsi="Arial" w:cs="Arial"/>
      <w:color w:val="auto"/>
      <w:spacing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4073">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 w:id="214704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tatutory-pay" TargetMode="External"/><Relationship Id="rId13" Type="http://schemas.openxmlformats.org/officeDocument/2006/relationships/hyperlink" Target="https://www.acas.org.uk/pay-and-hou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ipd.org/uk/topics/reward/" TargetMode="External"/><Relationship Id="rId17" Type="http://schemas.openxmlformats.org/officeDocument/2006/relationships/hyperlink" Target="http://www.charityexcellence.co.uk" TargetMode="External"/><Relationship Id="rId2" Type="http://schemas.openxmlformats.org/officeDocument/2006/relationships/numbering" Target="numbering.xml"/><Relationship Id="rId16" Type="http://schemas.openxmlformats.org/officeDocument/2006/relationships/hyperlink" Target="mailto:ian@charityexcellenc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thnicity-pay-reporting-guidance-for-employers" TargetMode="External"/><Relationship Id="rId5" Type="http://schemas.openxmlformats.org/officeDocument/2006/relationships/webSettings" Target="webSettings.xml"/><Relationship Id="rId15" Type="http://schemas.openxmlformats.org/officeDocument/2006/relationships/hyperlink" Target="https://www.acas.org.uk/equal-pay" TargetMode="External"/><Relationship Id="rId10" Type="http://schemas.openxmlformats.org/officeDocument/2006/relationships/hyperlink" Target="https://www.gov.uk/government/publications/gender-pay-gap-reporting-guidance-for-employ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national-minimum-wage-rates" TargetMode="External"/><Relationship Id="rId14" Type="http://schemas.openxmlformats.org/officeDocument/2006/relationships/hyperlink" Target="https://www.acas.org.uk/national-minimum-wage-entitl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cp:lastPrinted>2023-03-02T08:46:00Z</cp:lastPrinted>
  <dcterms:created xsi:type="dcterms:W3CDTF">2025-05-04T06:56:00Z</dcterms:created>
  <dcterms:modified xsi:type="dcterms:W3CDTF">2025-05-04T06:58:00Z</dcterms:modified>
</cp:coreProperties>
</file>