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2E76" w14:textId="35014CC3" w:rsidR="001832CF" w:rsidRDefault="004C0A58" w:rsidP="00523525">
      <w:pPr>
        <w:pStyle w:val="Alumna"/>
        <w:rPr>
          <w:rFonts w:eastAsia="Times New Roman"/>
          <w:color w:val="auto"/>
          <w:spacing w:val="0"/>
          <w:kern w:val="0"/>
          <w:szCs w:val="24"/>
          <w:lang w:eastAsia="en-GB"/>
        </w:rPr>
      </w:pPr>
      <w:r>
        <w:rPr>
          <w:b/>
          <w:bCs/>
          <w:color w:val="1F4E79" w:themeColor="accent5" w:themeShade="80"/>
          <w:spacing w:val="0"/>
          <w:kern w:val="0"/>
        </w:rPr>
        <w:t>Reserves Policy</w:t>
      </w:r>
      <w:bookmarkStart w:id="0" w:name="_Hlk39645958"/>
    </w:p>
    <w:p w14:paraId="6F58CC86" w14:textId="3988948A" w:rsidR="00BC735F" w:rsidRDefault="00BC735F" w:rsidP="00EC5C78">
      <w:pPr>
        <w:spacing w:before="100" w:beforeAutospacing="1" w:after="360" w:line="276" w:lineRule="auto"/>
        <w:rPr>
          <w:rFonts w:ascii="Century Gothic" w:hAnsi="Century Gothic"/>
          <w:b/>
          <w:bCs/>
          <w:color w:val="1F4E79" w:themeColor="accent5" w:themeShade="80"/>
          <w:sz w:val="28"/>
          <w:szCs w:val="28"/>
        </w:rPr>
      </w:pPr>
      <w:r w:rsidRPr="00BC735F">
        <w:rPr>
          <w:rFonts w:ascii="Century Gothic" w:hAnsi="Century Gothic"/>
          <w:b/>
          <w:bCs/>
          <w:color w:val="1F4E79" w:themeColor="accent5" w:themeShade="80"/>
          <w:sz w:val="28"/>
          <w:szCs w:val="28"/>
        </w:rPr>
        <w:t>Scope</w:t>
      </w:r>
    </w:p>
    <w:p w14:paraId="47B75364" w14:textId="491D872E" w:rsidR="004C0A58" w:rsidRPr="00BC735F" w:rsidRDefault="004C0A58" w:rsidP="00EC5C78">
      <w:pPr>
        <w:pStyle w:val="NormalWeb"/>
        <w:shd w:val="clear" w:color="auto" w:fill="FFFFFF"/>
        <w:spacing w:before="300" w:beforeAutospacing="0" w:after="300" w:afterAutospacing="0" w:line="276" w:lineRule="auto"/>
        <w:rPr>
          <w:rFonts w:ascii="Century Gothic" w:hAnsi="Century Gothic"/>
          <w:b/>
          <w:bCs/>
          <w:color w:val="1F4E79" w:themeColor="accent5" w:themeShade="80"/>
          <w:sz w:val="28"/>
          <w:szCs w:val="28"/>
        </w:rPr>
      </w:pPr>
      <w:r>
        <w:rPr>
          <w:rFonts w:asciiTheme="majorHAnsi" w:hAnsiTheme="majorHAnsi"/>
          <w:color w:val="0B0C0C"/>
          <w:szCs w:val="24"/>
        </w:rPr>
        <w:t xml:space="preserve">This </w:t>
      </w:r>
      <w:r w:rsidRPr="004C0A58">
        <w:rPr>
          <w:rFonts w:asciiTheme="majorHAnsi" w:hAnsiTheme="majorHAnsi"/>
          <w:color w:val="0B0C0C"/>
          <w:szCs w:val="24"/>
        </w:rPr>
        <w:t xml:space="preserve">reserves policy explains to existing and potential funders, donors, beneficiaries and other stakeholders why </w:t>
      </w:r>
      <w:r>
        <w:rPr>
          <w:rFonts w:asciiTheme="majorHAnsi" w:hAnsiTheme="majorHAnsi"/>
          <w:color w:val="0B0C0C"/>
          <w:szCs w:val="24"/>
        </w:rPr>
        <w:t xml:space="preserve">we are </w:t>
      </w:r>
      <w:r w:rsidRPr="004C0A58">
        <w:rPr>
          <w:rFonts w:asciiTheme="majorHAnsi" w:hAnsiTheme="majorHAnsi"/>
          <w:color w:val="0B0C0C"/>
          <w:szCs w:val="24"/>
        </w:rPr>
        <w:t xml:space="preserve">holding a particular </w:t>
      </w:r>
      <w:r w:rsidR="000A0A54" w:rsidRPr="004C0A58">
        <w:rPr>
          <w:rFonts w:asciiTheme="majorHAnsi" w:hAnsiTheme="majorHAnsi"/>
          <w:color w:val="0B0C0C"/>
          <w:szCs w:val="24"/>
        </w:rPr>
        <w:t>number</w:t>
      </w:r>
      <w:r w:rsidRPr="004C0A58">
        <w:rPr>
          <w:rFonts w:asciiTheme="majorHAnsi" w:hAnsiTheme="majorHAnsi"/>
          <w:color w:val="0B0C0C"/>
          <w:szCs w:val="24"/>
        </w:rPr>
        <w:t xml:space="preserve"> of reserves. </w:t>
      </w:r>
      <w:r>
        <w:rPr>
          <w:rFonts w:asciiTheme="majorHAnsi" w:hAnsiTheme="majorHAnsi"/>
          <w:color w:val="0B0C0C"/>
          <w:szCs w:val="24"/>
        </w:rPr>
        <w:t xml:space="preserve"> It gives </w:t>
      </w:r>
      <w:r w:rsidRPr="004C0A58">
        <w:rPr>
          <w:rFonts w:asciiTheme="majorHAnsi" w:hAnsiTheme="majorHAnsi"/>
          <w:color w:val="0B0C0C"/>
          <w:szCs w:val="24"/>
        </w:rPr>
        <w:t xml:space="preserve">confidence to stakeholders that </w:t>
      </w:r>
      <w:r>
        <w:rPr>
          <w:rFonts w:asciiTheme="majorHAnsi" w:hAnsiTheme="majorHAnsi"/>
          <w:color w:val="0B0C0C"/>
          <w:szCs w:val="24"/>
        </w:rPr>
        <w:t xml:space="preserve">our </w:t>
      </w:r>
      <w:r w:rsidRPr="004C0A58">
        <w:rPr>
          <w:rFonts w:asciiTheme="majorHAnsi" w:hAnsiTheme="majorHAnsi"/>
          <w:color w:val="0B0C0C"/>
          <w:szCs w:val="24"/>
        </w:rPr>
        <w:t xml:space="preserve">finances are being properly managed and will also provide an indicator of future funding needs and </w:t>
      </w:r>
      <w:r>
        <w:rPr>
          <w:rFonts w:asciiTheme="majorHAnsi" w:hAnsiTheme="majorHAnsi"/>
          <w:color w:val="0B0C0C"/>
          <w:szCs w:val="24"/>
        </w:rPr>
        <w:t>our</w:t>
      </w:r>
      <w:r w:rsidRPr="004C0A58">
        <w:rPr>
          <w:rFonts w:asciiTheme="majorHAnsi" w:hAnsiTheme="majorHAnsi"/>
          <w:color w:val="0B0C0C"/>
          <w:szCs w:val="24"/>
        </w:rPr>
        <w:t xml:space="preserve"> resilience.</w:t>
      </w:r>
    </w:p>
    <w:p w14:paraId="3866D237" w14:textId="09CCDCC0" w:rsidR="00BC735F" w:rsidRDefault="00CA0199" w:rsidP="00EC5C78">
      <w:pPr>
        <w:pStyle w:val="Heading2"/>
        <w:spacing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Oversight</w:t>
      </w:r>
    </w:p>
    <w:p w14:paraId="66E64029" w14:textId="72CFBFE9" w:rsidR="004C0A58" w:rsidRDefault="00CA0199" w:rsidP="00EC5C78">
      <w:pPr>
        <w:pStyle w:val="NormalWeb"/>
        <w:shd w:val="clear" w:color="auto" w:fill="FFFFFF"/>
        <w:spacing w:before="300" w:beforeAutospacing="0" w:after="300" w:afterAutospacing="0" w:line="276" w:lineRule="auto"/>
        <w:rPr>
          <w:rFonts w:asciiTheme="majorHAnsi" w:hAnsiTheme="majorHAnsi"/>
          <w:color w:val="auto"/>
          <w:szCs w:val="24"/>
        </w:rPr>
      </w:pPr>
      <w:r w:rsidRPr="004C0A58">
        <w:rPr>
          <w:rFonts w:asciiTheme="majorHAnsi" w:hAnsiTheme="majorHAnsi"/>
          <w:color w:val="0B0C0C"/>
          <w:szCs w:val="24"/>
        </w:rPr>
        <w:t xml:space="preserve">Once a reserves policy is </w:t>
      </w:r>
      <w:r>
        <w:rPr>
          <w:rFonts w:asciiTheme="majorHAnsi" w:hAnsiTheme="majorHAnsi"/>
          <w:color w:val="0B0C0C"/>
          <w:szCs w:val="24"/>
        </w:rPr>
        <w:t xml:space="preserve">a living document, so describes the process we will follow in creating it.  </w:t>
      </w:r>
      <w:r w:rsidRPr="004C0A58">
        <w:rPr>
          <w:rFonts w:asciiTheme="majorHAnsi" w:hAnsiTheme="majorHAnsi"/>
          <w:color w:val="0B0C0C"/>
          <w:szCs w:val="24"/>
        </w:rPr>
        <w:t xml:space="preserve">The amount held in reserves </w:t>
      </w:r>
      <w:r>
        <w:rPr>
          <w:rFonts w:asciiTheme="majorHAnsi" w:hAnsiTheme="majorHAnsi"/>
          <w:color w:val="0B0C0C"/>
          <w:szCs w:val="24"/>
        </w:rPr>
        <w:t xml:space="preserve">will be </w:t>
      </w:r>
      <w:r w:rsidRPr="004C0A58">
        <w:rPr>
          <w:rFonts w:asciiTheme="majorHAnsi" w:hAnsiTheme="majorHAnsi"/>
          <w:color w:val="0B0C0C"/>
          <w:szCs w:val="24"/>
        </w:rPr>
        <w:t xml:space="preserve">monitored during the course of the year as part of </w:t>
      </w:r>
      <w:r>
        <w:rPr>
          <w:rFonts w:asciiTheme="majorHAnsi" w:hAnsiTheme="majorHAnsi"/>
          <w:color w:val="0B0C0C"/>
          <w:szCs w:val="24"/>
        </w:rPr>
        <w:t>our b</w:t>
      </w:r>
      <w:r w:rsidRPr="004C0A58">
        <w:rPr>
          <w:rFonts w:asciiTheme="majorHAnsi" w:hAnsiTheme="majorHAnsi"/>
          <w:color w:val="0B0C0C"/>
          <w:szCs w:val="24"/>
        </w:rPr>
        <w:t>udgetary process</w:t>
      </w:r>
      <w:r>
        <w:rPr>
          <w:rFonts w:asciiTheme="majorHAnsi" w:hAnsiTheme="majorHAnsi"/>
          <w:color w:val="0B0C0C"/>
          <w:szCs w:val="24"/>
        </w:rPr>
        <w:t xml:space="preserve"> and financial monitoring. </w:t>
      </w:r>
      <w:r w:rsidR="008434A6">
        <w:rPr>
          <w:rFonts w:asciiTheme="majorHAnsi" w:hAnsiTheme="majorHAnsi"/>
          <w:color w:val="auto"/>
          <w:szCs w:val="24"/>
        </w:rPr>
        <w:t xml:space="preserve"> </w:t>
      </w:r>
    </w:p>
    <w:p w14:paraId="0427AFC1" w14:textId="2A384CE6" w:rsidR="004C0A58" w:rsidRPr="004C0A58" w:rsidRDefault="004C0A58" w:rsidP="00EC5C78">
      <w:pPr>
        <w:spacing w:before="100" w:beforeAutospacing="1" w:after="360" w:line="276" w:lineRule="auto"/>
        <w:rPr>
          <w:rFonts w:ascii="Century Gothic" w:eastAsiaTheme="majorEastAsia" w:hAnsi="Century Gothic" w:cstheme="majorBidi"/>
          <w:b/>
          <w:bCs/>
          <w:color w:val="1F4E79" w:themeColor="accent5" w:themeShade="80"/>
          <w:sz w:val="28"/>
          <w:szCs w:val="28"/>
        </w:rPr>
      </w:pPr>
      <w:r w:rsidRPr="004C0A58">
        <w:rPr>
          <w:rFonts w:ascii="Century Gothic" w:eastAsiaTheme="majorEastAsia" w:hAnsi="Century Gothic" w:cstheme="majorBidi"/>
          <w:b/>
          <w:bCs/>
          <w:color w:val="1F4E79" w:themeColor="accent5" w:themeShade="80"/>
          <w:sz w:val="28"/>
          <w:szCs w:val="28"/>
        </w:rPr>
        <w:t>Reserves</w:t>
      </w:r>
    </w:p>
    <w:p w14:paraId="018E384A" w14:textId="1E6B8350" w:rsidR="004C0A58" w:rsidRPr="004C0A58" w:rsidRDefault="004C0A58" w:rsidP="00EC5C78">
      <w:pPr>
        <w:pStyle w:val="NormalWeb"/>
        <w:shd w:val="clear" w:color="auto" w:fill="FFFFFF"/>
        <w:spacing w:before="300" w:beforeAutospacing="0" w:after="300" w:afterAutospacing="0" w:line="276" w:lineRule="auto"/>
        <w:rPr>
          <w:rFonts w:asciiTheme="majorHAnsi" w:hAnsiTheme="majorHAnsi"/>
          <w:color w:val="0B0C0C"/>
          <w:szCs w:val="24"/>
        </w:rPr>
      </w:pPr>
      <w:r w:rsidRPr="004C0A58">
        <w:rPr>
          <w:rFonts w:asciiTheme="majorHAnsi" w:hAnsiTheme="majorHAnsi"/>
          <w:b/>
          <w:bCs/>
          <w:color w:val="1F4E79" w:themeColor="accent5" w:themeShade="80"/>
          <w:szCs w:val="24"/>
        </w:rPr>
        <w:t>Reserves.</w:t>
      </w:r>
      <w:r w:rsidRPr="004C0A58">
        <w:rPr>
          <w:rFonts w:asciiTheme="majorHAnsi" w:hAnsiTheme="majorHAnsi"/>
          <w:color w:val="1F4E79" w:themeColor="accent5" w:themeShade="80"/>
          <w:szCs w:val="24"/>
        </w:rPr>
        <w:t xml:space="preserve">  </w:t>
      </w:r>
      <w:r>
        <w:rPr>
          <w:rFonts w:asciiTheme="majorHAnsi" w:hAnsiTheme="majorHAnsi"/>
          <w:color w:val="0B0C0C"/>
          <w:szCs w:val="24"/>
        </w:rPr>
        <w:t>A</w:t>
      </w:r>
      <w:r w:rsidRPr="004C0A58">
        <w:rPr>
          <w:rFonts w:asciiTheme="majorHAnsi" w:hAnsiTheme="majorHAnsi"/>
          <w:color w:val="0B0C0C"/>
          <w:szCs w:val="24"/>
        </w:rPr>
        <w:t xml:space="preserve">re that part of </w:t>
      </w:r>
      <w:r>
        <w:rPr>
          <w:rFonts w:asciiTheme="majorHAnsi" w:hAnsiTheme="majorHAnsi"/>
          <w:color w:val="0B0C0C"/>
          <w:szCs w:val="24"/>
        </w:rPr>
        <w:t xml:space="preserve">our </w:t>
      </w:r>
      <w:r w:rsidRPr="004C0A58">
        <w:rPr>
          <w:rFonts w:asciiTheme="majorHAnsi" w:hAnsiTheme="majorHAnsi"/>
          <w:color w:val="0B0C0C"/>
          <w:szCs w:val="24"/>
        </w:rPr>
        <w:t xml:space="preserve">unrestricted funds that is freely available to spend on any of </w:t>
      </w:r>
      <w:r>
        <w:rPr>
          <w:rFonts w:asciiTheme="majorHAnsi" w:hAnsiTheme="majorHAnsi"/>
          <w:color w:val="0B0C0C"/>
          <w:szCs w:val="24"/>
        </w:rPr>
        <w:t xml:space="preserve">our </w:t>
      </w:r>
      <w:r w:rsidRPr="004C0A58">
        <w:rPr>
          <w:rFonts w:asciiTheme="majorHAnsi" w:hAnsiTheme="majorHAnsi"/>
          <w:color w:val="0B0C0C"/>
          <w:szCs w:val="24"/>
        </w:rPr>
        <w:t>purposes. The items excluded from reserves are:</w:t>
      </w:r>
    </w:p>
    <w:p w14:paraId="481212B3" w14:textId="70B0F883" w:rsidR="004C0A58" w:rsidRPr="004C0A58" w:rsidRDefault="004C0A58">
      <w:pPr>
        <w:numPr>
          <w:ilvl w:val="0"/>
          <w:numId w:val="1"/>
        </w:numPr>
        <w:shd w:val="clear" w:color="auto" w:fill="FFFFFF"/>
        <w:spacing w:after="75" w:line="276" w:lineRule="auto"/>
        <w:ind w:left="1020"/>
        <w:rPr>
          <w:rFonts w:asciiTheme="majorHAnsi" w:hAnsiTheme="majorHAnsi"/>
          <w:color w:val="0B0C0C"/>
          <w:szCs w:val="24"/>
        </w:rPr>
      </w:pPr>
      <w:r w:rsidRPr="004C0A58">
        <w:rPr>
          <w:rFonts w:asciiTheme="majorHAnsi" w:hAnsiTheme="majorHAnsi"/>
          <w:color w:val="0B0C0C"/>
          <w:szCs w:val="24"/>
        </w:rPr>
        <w:t>tangible fixed assets used to carry out the charity’s activities, such as land and buildings</w:t>
      </w:r>
      <w:r w:rsidR="00CA0199">
        <w:rPr>
          <w:rFonts w:asciiTheme="majorHAnsi" w:hAnsiTheme="majorHAnsi"/>
          <w:color w:val="0B0C0C"/>
          <w:szCs w:val="24"/>
        </w:rPr>
        <w:t>.</w:t>
      </w:r>
    </w:p>
    <w:p w14:paraId="7864301F" w14:textId="503ABEE3" w:rsidR="004C0A58" w:rsidRPr="004C0A58" w:rsidRDefault="004C0A58">
      <w:pPr>
        <w:numPr>
          <w:ilvl w:val="0"/>
          <w:numId w:val="1"/>
        </w:numPr>
        <w:shd w:val="clear" w:color="auto" w:fill="FFFFFF"/>
        <w:spacing w:after="75" w:line="276" w:lineRule="auto"/>
        <w:ind w:left="1020"/>
        <w:rPr>
          <w:rFonts w:asciiTheme="majorHAnsi" w:hAnsiTheme="majorHAnsi"/>
          <w:color w:val="0B0C0C"/>
          <w:szCs w:val="24"/>
        </w:rPr>
      </w:pPr>
      <w:r w:rsidRPr="004C0A58">
        <w:rPr>
          <w:rFonts w:asciiTheme="majorHAnsi" w:hAnsiTheme="majorHAnsi"/>
          <w:color w:val="0B0C0C"/>
          <w:szCs w:val="24"/>
        </w:rPr>
        <w:t>programme-related investments those held solely to further the charity’s purposes</w:t>
      </w:r>
      <w:r w:rsidR="00CA0199">
        <w:rPr>
          <w:rFonts w:asciiTheme="majorHAnsi" w:hAnsiTheme="majorHAnsi"/>
          <w:color w:val="0B0C0C"/>
          <w:szCs w:val="24"/>
        </w:rPr>
        <w:t>.</w:t>
      </w:r>
    </w:p>
    <w:p w14:paraId="36970B6D" w14:textId="78B9F53C" w:rsidR="004C0A58" w:rsidRPr="004C0A58" w:rsidRDefault="004C0A58">
      <w:pPr>
        <w:numPr>
          <w:ilvl w:val="0"/>
          <w:numId w:val="1"/>
        </w:numPr>
        <w:shd w:val="clear" w:color="auto" w:fill="FFFFFF"/>
        <w:spacing w:after="75" w:line="276" w:lineRule="auto"/>
        <w:ind w:left="1020"/>
        <w:rPr>
          <w:rFonts w:asciiTheme="majorHAnsi" w:hAnsiTheme="majorHAnsi"/>
          <w:color w:val="0B0C0C"/>
          <w:szCs w:val="24"/>
        </w:rPr>
      </w:pPr>
      <w:r w:rsidRPr="004C0A58">
        <w:rPr>
          <w:rFonts w:asciiTheme="majorHAnsi" w:hAnsiTheme="majorHAnsi"/>
          <w:color w:val="0B0C0C"/>
          <w:szCs w:val="24"/>
        </w:rPr>
        <w:t>designated funds set aside to meet essential future spending, such as funding a project that could not be met from future income</w:t>
      </w:r>
      <w:r w:rsidR="00CA0199">
        <w:rPr>
          <w:rFonts w:asciiTheme="majorHAnsi" w:hAnsiTheme="majorHAnsi"/>
          <w:color w:val="0B0C0C"/>
          <w:szCs w:val="24"/>
        </w:rPr>
        <w:t>.</w:t>
      </w:r>
    </w:p>
    <w:p w14:paraId="5B9E194E" w14:textId="1101F8C9" w:rsidR="004C0A58" w:rsidRPr="004C0A58" w:rsidRDefault="004C0A58">
      <w:pPr>
        <w:numPr>
          <w:ilvl w:val="0"/>
          <w:numId w:val="1"/>
        </w:numPr>
        <w:shd w:val="clear" w:color="auto" w:fill="FFFFFF"/>
        <w:spacing w:after="75" w:line="276" w:lineRule="auto"/>
        <w:ind w:left="1020"/>
        <w:rPr>
          <w:rFonts w:asciiTheme="majorHAnsi" w:hAnsiTheme="majorHAnsi"/>
          <w:color w:val="0B0C0C"/>
          <w:szCs w:val="24"/>
        </w:rPr>
      </w:pPr>
      <w:r w:rsidRPr="004C0A58">
        <w:rPr>
          <w:rFonts w:asciiTheme="majorHAnsi" w:hAnsiTheme="majorHAnsi"/>
          <w:color w:val="0B0C0C"/>
          <w:szCs w:val="24"/>
        </w:rPr>
        <w:t>commitments that have not been provided for as a liability in the accounts</w:t>
      </w:r>
      <w:r w:rsidR="00CA0199">
        <w:rPr>
          <w:rFonts w:asciiTheme="majorHAnsi" w:hAnsiTheme="majorHAnsi"/>
          <w:color w:val="0B0C0C"/>
          <w:szCs w:val="24"/>
        </w:rPr>
        <w:t>.</w:t>
      </w:r>
    </w:p>
    <w:p w14:paraId="668E30DB" w14:textId="697F15FE" w:rsidR="004C0A58" w:rsidRDefault="004C0A58" w:rsidP="00EC5C78">
      <w:pPr>
        <w:pStyle w:val="Heading4"/>
        <w:shd w:val="clear" w:color="auto" w:fill="FFFFFF"/>
        <w:spacing w:before="525" w:line="276" w:lineRule="auto"/>
        <w:rPr>
          <w:rFonts w:cstheme="majorHAnsi"/>
          <w:i w:val="0"/>
          <w:iCs w:val="0"/>
          <w:color w:val="0B0C0C"/>
          <w:szCs w:val="24"/>
        </w:rPr>
      </w:pPr>
      <w:r w:rsidRPr="004C0A58">
        <w:rPr>
          <w:rFonts w:cstheme="majorHAnsi"/>
          <w:b/>
          <w:bCs/>
          <w:i w:val="0"/>
          <w:iCs w:val="0"/>
          <w:color w:val="1F4E79" w:themeColor="accent5" w:themeShade="80"/>
          <w:szCs w:val="24"/>
        </w:rPr>
        <w:t>Restricted Funds.</w:t>
      </w:r>
      <w:r w:rsidRPr="004C0A58">
        <w:rPr>
          <w:rFonts w:cstheme="majorHAnsi"/>
          <w:i w:val="0"/>
          <w:iCs w:val="0"/>
          <w:color w:val="1F4E79" w:themeColor="accent5" w:themeShade="80"/>
          <w:szCs w:val="24"/>
        </w:rPr>
        <w:t xml:space="preserve">  </w:t>
      </w:r>
      <w:r>
        <w:rPr>
          <w:rFonts w:cstheme="majorHAnsi"/>
          <w:i w:val="0"/>
          <w:iCs w:val="0"/>
          <w:color w:val="0B0C0C"/>
          <w:szCs w:val="24"/>
        </w:rPr>
        <w:t>F</w:t>
      </w:r>
      <w:r w:rsidRPr="004C0A58">
        <w:rPr>
          <w:rFonts w:cstheme="majorHAnsi"/>
          <w:i w:val="0"/>
          <w:iCs w:val="0"/>
          <w:color w:val="0B0C0C"/>
          <w:szCs w:val="24"/>
        </w:rPr>
        <w:t>all outside the definition of reserves, but the nature and amount of such funds may impact on a charity’s reserves policy. Where significant amounts are held as restricted funds the nature of the restriction should be considered, as such funds may reduce the need for reserves in particular areas of the charity’s work.</w:t>
      </w:r>
    </w:p>
    <w:p w14:paraId="4B7BAFAD" w14:textId="77777777" w:rsidR="00EC5C78" w:rsidRPr="00EC5C78" w:rsidRDefault="00EC5C78" w:rsidP="00EC5C78"/>
    <w:p w14:paraId="49FA0A14" w14:textId="60F4FC10" w:rsidR="004C0A58" w:rsidRDefault="004C0A58" w:rsidP="00EC5C78">
      <w:pPr>
        <w:pStyle w:val="NormalWeb"/>
        <w:shd w:val="clear" w:color="auto" w:fill="FFFFFF"/>
        <w:spacing w:before="75" w:beforeAutospacing="0" w:after="300" w:afterAutospacing="0" w:line="276" w:lineRule="auto"/>
        <w:rPr>
          <w:rFonts w:asciiTheme="majorHAnsi" w:hAnsiTheme="majorHAnsi"/>
          <w:color w:val="0B0C0C"/>
          <w:szCs w:val="24"/>
        </w:rPr>
      </w:pPr>
      <w:r w:rsidRPr="004C0A58">
        <w:rPr>
          <w:rFonts w:asciiTheme="majorHAnsi" w:hAnsiTheme="majorHAnsi"/>
          <w:b/>
          <w:bCs/>
          <w:color w:val="1F4E79" w:themeColor="accent5" w:themeShade="80"/>
          <w:szCs w:val="24"/>
        </w:rPr>
        <w:t>Reserves Held by Subsidiaries</w:t>
      </w:r>
      <w:r>
        <w:rPr>
          <w:rFonts w:asciiTheme="majorHAnsi" w:hAnsiTheme="majorHAnsi"/>
          <w:color w:val="0B0C0C"/>
          <w:szCs w:val="24"/>
        </w:rPr>
        <w:t xml:space="preserve">.  </w:t>
      </w:r>
      <w:r w:rsidRPr="004C0A58">
        <w:rPr>
          <w:rFonts w:asciiTheme="majorHAnsi" w:hAnsiTheme="majorHAnsi"/>
          <w:color w:val="0B0C0C"/>
          <w:szCs w:val="24"/>
        </w:rPr>
        <w:t>Where group accounts are prepared, the annual report will provide a narrative of the group’s activities. In particular, the amount of reserves stated must take account of the net assets of subsidiaries.</w:t>
      </w:r>
    </w:p>
    <w:p w14:paraId="02E79CF6" w14:textId="77777777" w:rsidR="00CA0199" w:rsidRPr="00CA0199" w:rsidRDefault="00CA0199" w:rsidP="00EC5C78">
      <w:pPr>
        <w:pStyle w:val="NormalWeb"/>
        <w:shd w:val="clear" w:color="auto" w:fill="FFFFFF"/>
        <w:spacing w:before="300" w:beforeAutospacing="0" w:after="300" w:afterAutospacing="0" w:line="276" w:lineRule="auto"/>
        <w:rPr>
          <w:rFonts w:ascii="Century Gothic" w:eastAsiaTheme="majorEastAsia" w:hAnsi="Century Gothic" w:cstheme="majorBidi"/>
          <w:b/>
          <w:bCs/>
          <w:color w:val="1F4E79" w:themeColor="accent5" w:themeShade="80"/>
          <w:sz w:val="28"/>
          <w:szCs w:val="28"/>
          <w:lang w:val="en-GB"/>
        </w:rPr>
      </w:pPr>
      <w:r w:rsidRPr="00CA0199">
        <w:rPr>
          <w:rFonts w:ascii="Century Gothic" w:eastAsiaTheme="majorEastAsia" w:hAnsi="Century Gothic" w:cstheme="majorBidi"/>
          <w:b/>
          <w:bCs/>
          <w:color w:val="1F4E79" w:themeColor="accent5" w:themeShade="80"/>
          <w:sz w:val="28"/>
          <w:szCs w:val="28"/>
          <w:lang w:val="en-GB"/>
        </w:rPr>
        <w:t>Developing Our Policy</w:t>
      </w:r>
    </w:p>
    <w:p w14:paraId="322C76F3" w14:textId="7F4548AE" w:rsidR="004C0A58" w:rsidRPr="004C0A58" w:rsidRDefault="004C0A58" w:rsidP="00EC5C78">
      <w:pPr>
        <w:pStyle w:val="NormalWeb"/>
        <w:shd w:val="clear" w:color="auto" w:fill="FFFFFF"/>
        <w:spacing w:before="300" w:beforeAutospacing="0" w:after="300" w:afterAutospacing="0" w:line="276" w:lineRule="auto"/>
        <w:rPr>
          <w:rFonts w:asciiTheme="majorHAnsi" w:hAnsiTheme="majorHAnsi"/>
          <w:color w:val="0B0C0C"/>
          <w:szCs w:val="24"/>
        </w:rPr>
      </w:pPr>
      <w:r w:rsidRPr="004C0A58">
        <w:rPr>
          <w:rFonts w:asciiTheme="majorHAnsi" w:hAnsiTheme="majorHAnsi"/>
          <w:color w:val="0B0C0C"/>
          <w:szCs w:val="24"/>
        </w:rPr>
        <w:lastRenderedPageBreak/>
        <w:t>There is no single method or approach to setting a reserves policy</w:t>
      </w:r>
      <w:r w:rsidR="00CA0199">
        <w:rPr>
          <w:rFonts w:asciiTheme="majorHAnsi" w:hAnsiTheme="majorHAnsi"/>
          <w:color w:val="0B0C0C"/>
          <w:szCs w:val="24"/>
        </w:rPr>
        <w:t xml:space="preserve"> and the right </w:t>
      </w:r>
      <w:r w:rsidRPr="004C0A58">
        <w:rPr>
          <w:rFonts w:asciiTheme="majorHAnsi" w:hAnsiTheme="majorHAnsi"/>
          <w:color w:val="0B0C0C"/>
          <w:szCs w:val="24"/>
        </w:rPr>
        <w:t xml:space="preserve">approach </w:t>
      </w:r>
      <w:r w:rsidR="00CA0199">
        <w:rPr>
          <w:rFonts w:asciiTheme="majorHAnsi" w:hAnsiTheme="majorHAnsi"/>
          <w:color w:val="0B0C0C"/>
          <w:szCs w:val="24"/>
        </w:rPr>
        <w:t xml:space="preserve">depends on the </w:t>
      </w:r>
      <w:r w:rsidRPr="004C0A58">
        <w:rPr>
          <w:rFonts w:asciiTheme="majorHAnsi" w:hAnsiTheme="majorHAnsi"/>
          <w:color w:val="0B0C0C"/>
          <w:szCs w:val="24"/>
        </w:rPr>
        <w:t xml:space="preserve">size, complexity of activities, legal structure and the nature of funds received and held by </w:t>
      </w:r>
      <w:r w:rsidR="00CA0199">
        <w:rPr>
          <w:rFonts w:asciiTheme="majorHAnsi" w:hAnsiTheme="majorHAnsi"/>
          <w:color w:val="0B0C0C"/>
          <w:szCs w:val="24"/>
        </w:rPr>
        <w:t>our</w:t>
      </w:r>
      <w:r w:rsidRPr="004C0A58">
        <w:rPr>
          <w:rFonts w:asciiTheme="majorHAnsi" w:hAnsiTheme="majorHAnsi"/>
          <w:color w:val="0B0C0C"/>
          <w:szCs w:val="24"/>
        </w:rPr>
        <w:t xml:space="preserve"> charity. </w:t>
      </w:r>
      <w:r w:rsidR="00CA0199">
        <w:rPr>
          <w:rFonts w:asciiTheme="majorHAnsi" w:hAnsiTheme="majorHAnsi"/>
          <w:color w:val="0B0C0C"/>
          <w:szCs w:val="24"/>
        </w:rPr>
        <w:t>The process we use involves:</w:t>
      </w:r>
    </w:p>
    <w:p w14:paraId="08DBF5EB" w14:textId="77777777" w:rsidR="00CA0199" w:rsidRDefault="00CA0199">
      <w:pPr>
        <w:numPr>
          <w:ilvl w:val="0"/>
          <w:numId w:val="2"/>
        </w:numPr>
        <w:shd w:val="clear" w:color="auto" w:fill="FFFFFF"/>
        <w:spacing w:after="75" w:line="276" w:lineRule="auto"/>
        <w:ind w:left="1020"/>
        <w:rPr>
          <w:rFonts w:asciiTheme="majorHAnsi" w:hAnsiTheme="majorHAnsi"/>
          <w:color w:val="0B0C0C"/>
          <w:szCs w:val="24"/>
        </w:rPr>
      </w:pPr>
      <w:r>
        <w:rPr>
          <w:rFonts w:asciiTheme="majorHAnsi" w:hAnsiTheme="majorHAnsi"/>
          <w:color w:val="0B0C0C"/>
          <w:szCs w:val="24"/>
        </w:rPr>
        <w:t>C</w:t>
      </w:r>
      <w:r w:rsidR="004C0A58" w:rsidRPr="004C0A58">
        <w:rPr>
          <w:rFonts w:asciiTheme="majorHAnsi" w:hAnsiTheme="majorHAnsi"/>
          <w:color w:val="0B0C0C"/>
          <w:szCs w:val="24"/>
        </w:rPr>
        <w:t>onsideration of the nature of the funds received and held by the charity</w:t>
      </w:r>
      <w:r>
        <w:rPr>
          <w:rFonts w:asciiTheme="majorHAnsi" w:hAnsiTheme="majorHAnsi"/>
          <w:color w:val="0B0C0C"/>
          <w:szCs w:val="24"/>
        </w:rPr>
        <w:t>:</w:t>
      </w:r>
    </w:p>
    <w:p w14:paraId="04AE92EA" w14:textId="77777777" w:rsidR="00CA0199" w:rsidRDefault="00CA0199">
      <w:pPr>
        <w:numPr>
          <w:ilvl w:val="1"/>
          <w:numId w:val="2"/>
        </w:numPr>
        <w:shd w:val="clear" w:color="auto" w:fill="FFFFFF"/>
        <w:spacing w:after="75" w:line="276" w:lineRule="auto"/>
        <w:rPr>
          <w:rFonts w:asciiTheme="majorHAnsi" w:hAnsiTheme="majorHAnsi"/>
          <w:color w:val="0B0C0C"/>
          <w:szCs w:val="24"/>
        </w:rPr>
      </w:pPr>
      <w:r>
        <w:rPr>
          <w:rFonts w:asciiTheme="majorHAnsi" w:hAnsiTheme="majorHAnsi"/>
          <w:color w:val="0B0C0C"/>
          <w:szCs w:val="24"/>
        </w:rPr>
        <w:t>A</w:t>
      </w:r>
      <w:r w:rsidR="004C0A58" w:rsidRPr="004C0A58">
        <w:rPr>
          <w:rFonts w:asciiTheme="majorHAnsi" w:hAnsiTheme="majorHAnsi"/>
          <w:color w:val="0B0C0C"/>
          <w:szCs w:val="24"/>
        </w:rPr>
        <w:t xml:space="preserve">re the funds unrestricted or restricted income? </w:t>
      </w:r>
    </w:p>
    <w:p w14:paraId="0E2D2B14" w14:textId="77777777" w:rsidR="00CA0199" w:rsidRDefault="004C0A58">
      <w:pPr>
        <w:numPr>
          <w:ilvl w:val="1"/>
          <w:numId w:val="2"/>
        </w:numPr>
        <w:shd w:val="clear" w:color="auto" w:fill="FFFFFF"/>
        <w:spacing w:after="75" w:line="276" w:lineRule="auto"/>
        <w:rPr>
          <w:rFonts w:asciiTheme="majorHAnsi" w:hAnsiTheme="majorHAnsi"/>
          <w:color w:val="0B0C0C"/>
          <w:szCs w:val="24"/>
        </w:rPr>
      </w:pPr>
      <w:r w:rsidRPr="004C0A58">
        <w:rPr>
          <w:rFonts w:asciiTheme="majorHAnsi" w:hAnsiTheme="majorHAnsi"/>
          <w:color w:val="0B0C0C"/>
          <w:szCs w:val="24"/>
        </w:rPr>
        <w:t xml:space="preserve">Is an endowment an expendable endowment or permanent endowment? </w:t>
      </w:r>
    </w:p>
    <w:p w14:paraId="6EDC275C" w14:textId="6C74CF5D" w:rsidR="004C0A58" w:rsidRDefault="004C0A58">
      <w:pPr>
        <w:numPr>
          <w:ilvl w:val="1"/>
          <w:numId w:val="2"/>
        </w:numPr>
        <w:shd w:val="clear" w:color="auto" w:fill="FFFFFF"/>
        <w:spacing w:after="75" w:line="276" w:lineRule="auto"/>
        <w:rPr>
          <w:rFonts w:asciiTheme="majorHAnsi" w:hAnsiTheme="majorHAnsi"/>
          <w:color w:val="0B0C0C"/>
          <w:szCs w:val="24"/>
        </w:rPr>
      </w:pPr>
      <w:r w:rsidRPr="004C0A58">
        <w:rPr>
          <w:rFonts w:asciiTheme="majorHAnsi" w:hAnsiTheme="majorHAnsi"/>
          <w:color w:val="0B0C0C"/>
          <w:szCs w:val="24"/>
        </w:rPr>
        <w:t xml:space="preserve">Understanding the nature of the funds allows trustees to identify unrestricted funds which can be spent on any purposes of </w:t>
      </w:r>
      <w:r w:rsidR="00CA0199">
        <w:rPr>
          <w:rFonts w:asciiTheme="majorHAnsi" w:hAnsiTheme="majorHAnsi"/>
          <w:color w:val="0B0C0C"/>
          <w:szCs w:val="24"/>
        </w:rPr>
        <w:t>our c</w:t>
      </w:r>
      <w:r w:rsidRPr="004C0A58">
        <w:rPr>
          <w:rFonts w:asciiTheme="majorHAnsi" w:hAnsiTheme="majorHAnsi"/>
          <w:color w:val="0B0C0C"/>
          <w:szCs w:val="24"/>
        </w:rPr>
        <w:t>harity</w:t>
      </w:r>
      <w:r w:rsidR="00CA0199">
        <w:rPr>
          <w:rFonts w:asciiTheme="majorHAnsi" w:hAnsiTheme="majorHAnsi"/>
          <w:color w:val="0B0C0C"/>
          <w:szCs w:val="24"/>
        </w:rPr>
        <w:t>.</w:t>
      </w:r>
    </w:p>
    <w:p w14:paraId="584423A9" w14:textId="77777777" w:rsidR="00672F99" w:rsidRDefault="00672F99" w:rsidP="00EC5C78">
      <w:pPr>
        <w:shd w:val="clear" w:color="auto" w:fill="FFFFFF"/>
        <w:spacing w:after="75" w:line="276" w:lineRule="auto"/>
        <w:rPr>
          <w:rFonts w:asciiTheme="majorHAnsi" w:hAnsiTheme="majorHAnsi"/>
          <w:color w:val="0B0C0C"/>
          <w:szCs w:val="24"/>
        </w:rPr>
      </w:pPr>
    </w:p>
    <w:p w14:paraId="0EDEE185" w14:textId="4223A4C4" w:rsidR="004C0A58" w:rsidRPr="00672F99" w:rsidRDefault="00672F99" w:rsidP="00EC5C78">
      <w:pPr>
        <w:shd w:val="clear" w:color="auto" w:fill="FFFFFF"/>
        <w:spacing w:after="75" w:line="276" w:lineRule="auto"/>
        <w:rPr>
          <w:rFonts w:asciiTheme="majorHAnsi" w:hAnsiTheme="majorHAnsi"/>
          <w:i/>
          <w:iCs/>
          <w:color w:val="0B0C0C"/>
          <w:szCs w:val="24"/>
        </w:rPr>
      </w:pPr>
      <w:r w:rsidRPr="00672F99">
        <w:rPr>
          <w:rFonts w:asciiTheme="majorHAnsi" w:hAnsiTheme="majorHAnsi"/>
          <w:color w:val="0B0C0C"/>
          <w:szCs w:val="24"/>
        </w:rPr>
        <w:t>Including future budgets and future projects or spending plans that cannot be met from the income of a single year, and</w:t>
      </w:r>
      <w:r w:rsidR="004C0A58" w:rsidRPr="00672F99">
        <w:rPr>
          <w:rFonts w:asciiTheme="majorHAnsi" w:hAnsiTheme="majorHAnsi"/>
          <w:color w:val="0B0C0C"/>
          <w:szCs w:val="24"/>
        </w:rPr>
        <w:t xml:space="preserve"> uncertainties </w:t>
      </w:r>
      <w:r w:rsidRPr="00672F99">
        <w:rPr>
          <w:rFonts w:asciiTheme="majorHAnsi" w:hAnsiTheme="majorHAnsi"/>
          <w:color w:val="0B0C0C"/>
          <w:szCs w:val="24"/>
        </w:rPr>
        <w:t xml:space="preserve">we </w:t>
      </w:r>
      <w:r w:rsidR="004C0A58" w:rsidRPr="00672F99">
        <w:rPr>
          <w:rFonts w:asciiTheme="majorHAnsi" w:hAnsiTheme="majorHAnsi"/>
          <w:color w:val="0B0C0C"/>
          <w:szCs w:val="24"/>
        </w:rPr>
        <w:t>may face in the future</w:t>
      </w:r>
      <w:r w:rsidRPr="00672F99">
        <w:rPr>
          <w:rFonts w:asciiTheme="majorHAnsi" w:hAnsiTheme="majorHAnsi"/>
          <w:color w:val="0B0C0C"/>
          <w:szCs w:val="24"/>
        </w:rPr>
        <w:t xml:space="preserve">, such as </w:t>
      </w:r>
      <w:r w:rsidR="004C0A58" w:rsidRPr="00672F99">
        <w:rPr>
          <w:rFonts w:asciiTheme="majorHAnsi" w:hAnsiTheme="majorHAnsi"/>
          <w:color w:val="0B0C0C"/>
          <w:szCs w:val="24"/>
        </w:rPr>
        <w:t>the need to hold some reserves to meet an unexpected call on funds or opportunities that may present themselves</w:t>
      </w:r>
      <w:r w:rsidR="00CA0199" w:rsidRPr="00672F99">
        <w:rPr>
          <w:rFonts w:asciiTheme="majorHAnsi" w:hAnsiTheme="majorHAnsi"/>
          <w:color w:val="0B0C0C"/>
          <w:szCs w:val="24"/>
        </w:rPr>
        <w:t>.</w:t>
      </w:r>
    </w:p>
    <w:p w14:paraId="25B16AFA" w14:textId="4170638F" w:rsidR="00672F99" w:rsidRDefault="00CA0199" w:rsidP="00EC5C78">
      <w:pPr>
        <w:pStyle w:val="NormalWeb"/>
        <w:shd w:val="clear" w:color="auto" w:fill="FFFFFF"/>
        <w:spacing w:before="300" w:beforeAutospacing="0" w:after="300" w:afterAutospacing="0" w:line="276" w:lineRule="auto"/>
        <w:rPr>
          <w:rFonts w:asciiTheme="majorHAnsi" w:hAnsiTheme="majorHAnsi"/>
          <w:color w:val="0B0C0C"/>
          <w:szCs w:val="24"/>
        </w:rPr>
      </w:pPr>
      <w:r>
        <w:rPr>
          <w:rFonts w:asciiTheme="majorHAnsi" w:hAnsiTheme="majorHAnsi"/>
          <w:color w:val="0B0C0C"/>
          <w:szCs w:val="24"/>
        </w:rPr>
        <w:t xml:space="preserve">We will use the above process </w:t>
      </w:r>
      <w:r w:rsidR="004C0A58" w:rsidRPr="004C0A58">
        <w:rPr>
          <w:rFonts w:asciiTheme="majorHAnsi" w:hAnsiTheme="majorHAnsi"/>
          <w:color w:val="0B0C0C"/>
          <w:szCs w:val="24"/>
        </w:rPr>
        <w:t>to identify why reserves might need to be held and to decide the amount of reserves needed to operate effectively.</w:t>
      </w:r>
      <w:r w:rsidR="00672F99">
        <w:rPr>
          <w:rFonts w:asciiTheme="majorHAnsi" w:hAnsiTheme="majorHAnsi"/>
          <w:color w:val="0B0C0C"/>
          <w:szCs w:val="24"/>
        </w:rPr>
        <w:t xml:space="preserve">  We use the Charity Commission guidance on reserves ……………..</w:t>
      </w:r>
    </w:p>
    <w:p w14:paraId="3DBEE5CF" w14:textId="0BC812E1" w:rsidR="00672F99" w:rsidRDefault="00672F99" w:rsidP="00EC5C78">
      <w:pPr>
        <w:pStyle w:val="NormalWeb"/>
        <w:shd w:val="clear" w:color="auto" w:fill="FFFFFF"/>
        <w:spacing w:before="300" w:beforeAutospacing="0" w:after="300" w:afterAutospacing="0" w:line="276" w:lineRule="auto"/>
        <w:rPr>
          <w:rFonts w:asciiTheme="majorHAnsi" w:hAnsiTheme="majorHAnsi"/>
          <w:i/>
          <w:iCs/>
          <w:color w:val="0B0C0C"/>
          <w:szCs w:val="24"/>
        </w:rPr>
      </w:pPr>
      <w:hyperlink r:id="rId8" w:anchor="sA1" w:history="1">
        <w:r w:rsidRPr="00672F99">
          <w:rPr>
            <w:rStyle w:val="Hyperlink"/>
            <w:rFonts w:asciiTheme="majorHAnsi" w:hAnsiTheme="majorHAnsi"/>
            <w:i/>
            <w:iCs/>
            <w:color w:val="1D70B8"/>
            <w:szCs w:val="24"/>
          </w:rPr>
          <w:t>Annex 1</w:t>
        </w:r>
      </w:hyperlink>
      <w:r w:rsidRPr="00672F99">
        <w:rPr>
          <w:rFonts w:asciiTheme="majorHAnsi" w:hAnsiTheme="majorHAnsi"/>
          <w:i/>
          <w:iCs/>
          <w:color w:val="0B0C0C"/>
          <w:szCs w:val="24"/>
        </w:rPr>
        <w:t> </w:t>
      </w:r>
      <w:r>
        <w:rPr>
          <w:rFonts w:asciiTheme="majorHAnsi" w:hAnsiTheme="majorHAnsi"/>
          <w:i/>
          <w:iCs/>
          <w:color w:val="0B0C0C"/>
          <w:szCs w:val="24"/>
        </w:rPr>
        <w:t xml:space="preserve">which </w:t>
      </w:r>
      <w:r w:rsidRPr="00672F99">
        <w:rPr>
          <w:rFonts w:asciiTheme="majorHAnsi" w:hAnsiTheme="majorHAnsi"/>
          <w:i/>
          <w:iCs/>
          <w:color w:val="0B0C0C"/>
          <w:szCs w:val="24"/>
        </w:rPr>
        <w:t>sets an approach that can be used by smaller charities which do not hold significant amounts of endowed funds, property or operate a defined benefit pension scheme or carry out activities through trading subsidiaries.</w:t>
      </w:r>
    </w:p>
    <w:p w14:paraId="42B0BDFB" w14:textId="4D61111E" w:rsidR="00672F99" w:rsidRPr="00672F99" w:rsidRDefault="00672F99" w:rsidP="00EC5C78">
      <w:pPr>
        <w:pStyle w:val="NormalWeb"/>
        <w:shd w:val="clear" w:color="auto" w:fill="FFFFFF"/>
        <w:spacing w:before="300" w:beforeAutospacing="0" w:after="300" w:afterAutospacing="0" w:line="276" w:lineRule="auto"/>
        <w:rPr>
          <w:rFonts w:asciiTheme="majorHAnsi" w:hAnsiTheme="majorHAnsi"/>
          <w:i/>
          <w:iCs/>
          <w:color w:val="0B0C0C"/>
          <w:szCs w:val="24"/>
        </w:rPr>
      </w:pPr>
      <w:r>
        <w:rPr>
          <w:rFonts w:asciiTheme="majorHAnsi" w:hAnsiTheme="majorHAnsi"/>
          <w:i/>
          <w:iCs/>
          <w:color w:val="0B0C0C"/>
          <w:szCs w:val="24"/>
        </w:rPr>
        <w:t>Or……..</w:t>
      </w:r>
    </w:p>
    <w:p w14:paraId="26811F06" w14:textId="1F8CA15C" w:rsidR="004C0A58" w:rsidRPr="00672F99" w:rsidRDefault="00672F99" w:rsidP="00EC5C78">
      <w:pPr>
        <w:pStyle w:val="NormalWeb"/>
        <w:shd w:val="clear" w:color="auto" w:fill="FFFFFF"/>
        <w:spacing w:before="300" w:beforeAutospacing="0" w:after="300" w:afterAutospacing="0" w:line="276" w:lineRule="auto"/>
        <w:rPr>
          <w:rFonts w:asciiTheme="majorHAnsi" w:hAnsiTheme="majorHAnsi"/>
          <w:i/>
          <w:iCs/>
          <w:color w:val="0B0C0C"/>
          <w:szCs w:val="24"/>
        </w:rPr>
      </w:pPr>
      <w:hyperlink r:id="rId9" w:anchor="sA2" w:history="1">
        <w:r w:rsidRPr="00672F99">
          <w:rPr>
            <w:rStyle w:val="Hyperlink"/>
            <w:rFonts w:asciiTheme="majorHAnsi" w:hAnsiTheme="majorHAnsi"/>
            <w:i/>
            <w:iCs/>
            <w:color w:val="1D70B8"/>
            <w:szCs w:val="24"/>
          </w:rPr>
          <w:t>Annex 2</w:t>
        </w:r>
      </w:hyperlink>
      <w:r w:rsidRPr="00672F99">
        <w:rPr>
          <w:rFonts w:asciiTheme="majorHAnsi" w:hAnsiTheme="majorHAnsi"/>
          <w:i/>
          <w:iCs/>
          <w:color w:val="0B0C0C"/>
          <w:szCs w:val="24"/>
        </w:rPr>
        <w:t> </w:t>
      </w:r>
      <w:r>
        <w:rPr>
          <w:rFonts w:asciiTheme="majorHAnsi" w:hAnsiTheme="majorHAnsi"/>
          <w:i/>
          <w:iCs/>
          <w:color w:val="0B0C0C"/>
          <w:szCs w:val="24"/>
        </w:rPr>
        <w:t xml:space="preserve">which </w:t>
      </w:r>
      <w:r w:rsidRPr="00672F99">
        <w:rPr>
          <w:rFonts w:asciiTheme="majorHAnsi" w:hAnsiTheme="majorHAnsi"/>
          <w:i/>
          <w:iCs/>
          <w:color w:val="0B0C0C"/>
          <w:szCs w:val="24"/>
        </w:rPr>
        <w:t xml:space="preserve">sets out an ‘integrated approach’ for larger charities with more complex activities and structures. An integrated approach to setting a reserves policy means the development of the development of a reserves policy at the same time as doing strategic, operational, and budgetary planning. </w:t>
      </w:r>
    </w:p>
    <w:p w14:paraId="1E4071DB" w14:textId="22E0F9FC" w:rsidR="00CA0199" w:rsidRPr="005F638D" w:rsidRDefault="00CA0199" w:rsidP="00EC5C78">
      <w:pPr>
        <w:pStyle w:val="NormalWeb"/>
        <w:shd w:val="clear" w:color="auto" w:fill="FFFFFF"/>
        <w:spacing w:before="300" w:beforeAutospacing="0" w:after="300" w:afterAutospacing="0" w:line="276" w:lineRule="auto"/>
        <w:rPr>
          <w:rFonts w:ascii="Century Gothic" w:eastAsiaTheme="majorEastAsia" w:hAnsi="Century Gothic" w:cstheme="majorBidi"/>
          <w:b/>
          <w:bCs/>
          <w:color w:val="1F4E79" w:themeColor="accent5" w:themeShade="80"/>
          <w:sz w:val="28"/>
          <w:szCs w:val="28"/>
          <w:lang w:val="en-GB"/>
        </w:rPr>
      </w:pPr>
      <w:r w:rsidRPr="005F638D">
        <w:rPr>
          <w:rFonts w:ascii="Century Gothic" w:eastAsiaTheme="majorEastAsia" w:hAnsi="Century Gothic" w:cstheme="majorBidi"/>
          <w:b/>
          <w:bCs/>
          <w:color w:val="1F4E79" w:themeColor="accent5" w:themeShade="80"/>
          <w:sz w:val="28"/>
          <w:szCs w:val="28"/>
          <w:lang w:val="en-GB"/>
        </w:rPr>
        <w:t>Levels of Reserves</w:t>
      </w:r>
    </w:p>
    <w:p w14:paraId="191E4E93" w14:textId="5EB9D9E9" w:rsidR="004C0A58" w:rsidRPr="004C0A58" w:rsidRDefault="005F638D" w:rsidP="00EC5C78">
      <w:pPr>
        <w:pStyle w:val="NormalWeb"/>
        <w:shd w:val="clear" w:color="auto" w:fill="FFFFFF"/>
        <w:spacing w:before="75" w:beforeAutospacing="0" w:after="300" w:afterAutospacing="0" w:line="276" w:lineRule="auto"/>
        <w:rPr>
          <w:rFonts w:asciiTheme="majorHAnsi" w:hAnsiTheme="majorHAnsi"/>
          <w:color w:val="0B0C0C"/>
          <w:szCs w:val="24"/>
        </w:rPr>
      </w:pPr>
      <w:r>
        <w:rPr>
          <w:rFonts w:asciiTheme="majorHAnsi" w:hAnsiTheme="majorHAnsi"/>
          <w:color w:val="0B0C0C"/>
          <w:szCs w:val="24"/>
        </w:rPr>
        <w:t xml:space="preserve">Our </w:t>
      </w:r>
      <w:r w:rsidR="004C0A58" w:rsidRPr="004C0A58">
        <w:rPr>
          <w:rFonts w:asciiTheme="majorHAnsi" w:hAnsiTheme="majorHAnsi"/>
          <w:color w:val="0B0C0C"/>
          <w:szCs w:val="24"/>
        </w:rPr>
        <w:t xml:space="preserve">target level of reserves </w:t>
      </w:r>
      <w:r>
        <w:rPr>
          <w:rFonts w:asciiTheme="majorHAnsi" w:hAnsiTheme="majorHAnsi"/>
          <w:color w:val="0B0C0C"/>
          <w:szCs w:val="24"/>
        </w:rPr>
        <w:t xml:space="preserve">may be </w:t>
      </w:r>
      <w:r w:rsidR="004C0A58" w:rsidRPr="004C0A58">
        <w:rPr>
          <w:rFonts w:asciiTheme="majorHAnsi" w:hAnsiTheme="majorHAnsi"/>
          <w:color w:val="0B0C0C"/>
          <w:szCs w:val="24"/>
        </w:rPr>
        <w:t xml:space="preserve">expressed as a target figure or a target range and </w:t>
      </w:r>
      <w:r>
        <w:rPr>
          <w:rFonts w:asciiTheme="majorHAnsi" w:hAnsiTheme="majorHAnsi"/>
          <w:color w:val="0B0C0C"/>
          <w:szCs w:val="24"/>
        </w:rPr>
        <w:t xml:space="preserve">will be </w:t>
      </w:r>
      <w:r w:rsidR="004C0A58" w:rsidRPr="004C0A58">
        <w:rPr>
          <w:rFonts w:asciiTheme="majorHAnsi" w:hAnsiTheme="majorHAnsi"/>
          <w:color w:val="0B0C0C"/>
          <w:szCs w:val="24"/>
        </w:rPr>
        <w:t>informed by:</w:t>
      </w:r>
    </w:p>
    <w:p w14:paraId="3AB923D6" w14:textId="38F00897" w:rsidR="004C0A58" w:rsidRPr="004C0A58" w:rsidRDefault="005F638D">
      <w:pPr>
        <w:numPr>
          <w:ilvl w:val="0"/>
          <w:numId w:val="3"/>
        </w:numPr>
        <w:shd w:val="clear" w:color="auto" w:fill="FFFFFF"/>
        <w:spacing w:after="75" w:line="276" w:lineRule="auto"/>
        <w:ind w:left="1020"/>
        <w:rPr>
          <w:rFonts w:asciiTheme="majorHAnsi" w:hAnsiTheme="majorHAnsi"/>
          <w:color w:val="0B0C0C"/>
          <w:szCs w:val="24"/>
        </w:rPr>
      </w:pPr>
      <w:r>
        <w:rPr>
          <w:rFonts w:asciiTheme="majorHAnsi" w:hAnsiTheme="majorHAnsi"/>
          <w:color w:val="0B0C0C"/>
          <w:szCs w:val="24"/>
        </w:rPr>
        <w:t xml:space="preserve">Our </w:t>
      </w:r>
      <w:r w:rsidR="004C0A58" w:rsidRPr="004C0A58">
        <w:rPr>
          <w:rFonts w:asciiTheme="majorHAnsi" w:hAnsiTheme="majorHAnsi"/>
          <w:color w:val="0B0C0C"/>
          <w:szCs w:val="24"/>
        </w:rPr>
        <w:t>forecasts for levels of income for the current and future years, taking into account the reliability of each source of income and the prospects for developing new income sources</w:t>
      </w:r>
    </w:p>
    <w:p w14:paraId="6BA098B0" w14:textId="7EE90D81" w:rsidR="004C0A58" w:rsidRPr="004C0A58" w:rsidRDefault="005F638D">
      <w:pPr>
        <w:numPr>
          <w:ilvl w:val="0"/>
          <w:numId w:val="3"/>
        </w:numPr>
        <w:shd w:val="clear" w:color="auto" w:fill="FFFFFF"/>
        <w:spacing w:after="75" w:line="276" w:lineRule="auto"/>
        <w:ind w:left="1020"/>
        <w:rPr>
          <w:rFonts w:asciiTheme="majorHAnsi" w:hAnsiTheme="majorHAnsi"/>
          <w:color w:val="0B0C0C"/>
          <w:szCs w:val="24"/>
        </w:rPr>
      </w:pPr>
      <w:r>
        <w:rPr>
          <w:rFonts w:asciiTheme="majorHAnsi" w:hAnsiTheme="majorHAnsi"/>
          <w:color w:val="0B0C0C"/>
          <w:szCs w:val="24"/>
        </w:rPr>
        <w:t xml:space="preserve">Our </w:t>
      </w:r>
      <w:r w:rsidR="004C0A58" w:rsidRPr="004C0A58">
        <w:rPr>
          <w:rFonts w:asciiTheme="majorHAnsi" w:hAnsiTheme="majorHAnsi"/>
          <w:color w:val="0B0C0C"/>
          <w:szCs w:val="24"/>
        </w:rPr>
        <w:t>forecasts for expenditure for the current and future years on the basis of planned activity</w:t>
      </w:r>
    </w:p>
    <w:p w14:paraId="0B0E90E0" w14:textId="2A3670C2" w:rsidR="004C0A58" w:rsidRPr="004C0A58" w:rsidRDefault="005F638D">
      <w:pPr>
        <w:numPr>
          <w:ilvl w:val="0"/>
          <w:numId w:val="3"/>
        </w:numPr>
        <w:shd w:val="clear" w:color="auto" w:fill="FFFFFF"/>
        <w:spacing w:after="75" w:line="276" w:lineRule="auto"/>
        <w:ind w:left="1020"/>
        <w:rPr>
          <w:rFonts w:asciiTheme="majorHAnsi" w:hAnsiTheme="majorHAnsi"/>
          <w:color w:val="0B0C0C"/>
          <w:szCs w:val="24"/>
        </w:rPr>
      </w:pPr>
      <w:r>
        <w:rPr>
          <w:rFonts w:asciiTheme="majorHAnsi" w:hAnsiTheme="majorHAnsi"/>
          <w:color w:val="0B0C0C"/>
          <w:szCs w:val="24"/>
        </w:rPr>
        <w:t>A</w:t>
      </w:r>
      <w:r w:rsidR="004C0A58" w:rsidRPr="004C0A58">
        <w:rPr>
          <w:rFonts w:asciiTheme="majorHAnsi" w:hAnsiTheme="majorHAnsi"/>
          <w:color w:val="0B0C0C"/>
          <w:szCs w:val="24"/>
        </w:rPr>
        <w:t>nalysis of any future needs, opportunities, commitments or risks, where future income alone is likely to fall short of the amount of the anticipated costs</w:t>
      </w:r>
    </w:p>
    <w:p w14:paraId="3C34DC00" w14:textId="4855E280" w:rsidR="005F638D" w:rsidRPr="00672F99" w:rsidRDefault="005F638D">
      <w:pPr>
        <w:numPr>
          <w:ilvl w:val="0"/>
          <w:numId w:val="3"/>
        </w:numPr>
        <w:shd w:val="clear" w:color="auto" w:fill="FFFFFF"/>
        <w:spacing w:after="75" w:line="276" w:lineRule="auto"/>
        <w:ind w:left="1020"/>
        <w:rPr>
          <w:rFonts w:asciiTheme="majorHAnsi" w:hAnsiTheme="majorHAnsi"/>
          <w:color w:val="0B0C0C"/>
          <w:szCs w:val="24"/>
        </w:rPr>
      </w:pPr>
      <w:r w:rsidRPr="00672F99">
        <w:rPr>
          <w:rFonts w:asciiTheme="majorHAnsi" w:hAnsiTheme="majorHAnsi"/>
          <w:color w:val="0B0C0C"/>
          <w:szCs w:val="24"/>
        </w:rPr>
        <w:lastRenderedPageBreak/>
        <w:t>A</w:t>
      </w:r>
      <w:r w:rsidR="004C0A58" w:rsidRPr="00672F99">
        <w:rPr>
          <w:rFonts w:asciiTheme="majorHAnsi" w:hAnsiTheme="majorHAnsi"/>
          <w:color w:val="0B0C0C"/>
          <w:szCs w:val="24"/>
        </w:rPr>
        <w:t>ssessment, on the best evidence reasonably available, of the likelihood of a shortfall arising which means that reserves are necessary, and the potential consequences for the charity of not being able to make up the shortfall</w:t>
      </w:r>
      <w:r w:rsidR="00672F99" w:rsidRPr="00672F99">
        <w:rPr>
          <w:rFonts w:asciiTheme="majorHAnsi" w:hAnsiTheme="majorHAnsi"/>
          <w:color w:val="0B0C0C"/>
          <w:szCs w:val="24"/>
        </w:rPr>
        <w:t>.</w:t>
      </w:r>
    </w:p>
    <w:p w14:paraId="2887D2AF" w14:textId="59FEE14B" w:rsidR="005F638D" w:rsidRDefault="005F638D" w:rsidP="00EC5C78">
      <w:pPr>
        <w:pStyle w:val="NormalWeb"/>
        <w:shd w:val="clear" w:color="auto" w:fill="FFFFFF"/>
        <w:spacing w:before="300" w:beforeAutospacing="0" w:after="300" w:afterAutospacing="0" w:line="276" w:lineRule="auto"/>
        <w:rPr>
          <w:rFonts w:ascii="Century Gothic" w:eastAsiaTheme="majorEastAsia" w:hAnsi="Century Gothic" w:cstheme="majorBidi"/>
          <w:b/>
          <w:bCs/>
          <w:color w:val="1F4E79" w:themeColor="accent5" w:themeShade="80"/>
          <w:sz w:val="28"/>
          <w:szCs w:val="28"/>
          <w:lang w:val="en-GB"/>
        </w:rPr>
      </w:pPr>
      <w:r>
        <w:rPr>
          <w:rFonts w:ascii="Century Gothic" w:eastAsiaTheme="majorEastAsia" w:hAnsi="Century Gothic" w:cstheme="majorBidi"/>
          <w:b/>
          <w:bCs/>
          <w:color w:val="1F4E79" w:themeColor="accent5" w:themeShade="80"/>
          <w:sz w:val="28"/>
          <w:szCs w:val="28"/>
          <w:lang w:val="en-GB"/>
        </w:rPr>
        <w:t>Monitoring of Reserves</w:t>
      </w:r>
    </w:p>
    <w:p w14:paraId="1C58CD5A" w14:textId="6D3CCE53" w:rsidR="005F638D" w:rsidRPr="004C0A58" w:rsidRDefault="005F638D" w:rsidP="00EC5C78">
      <w:pPr>
        <w:shd w:val="clear" w:color="auto" w:fill="FFFFFF"/>
        <w:spacing w:after="75" w:line="276" w:lineRule="auto"/>
        <w:rPr>
          <w:rFonts w:asciiTheme="majorHAnsi" w:hAnsiTheme="majorHAnsi"/>
          <w:color w:val="0B0C0C"/>
          <w:szCs w:val="24"/>
        </w:rPr>
      </w:pPr>
      <w:r>
        <w:rPr>
          <w:rStyle w:val="number"/>
          <w:rFonts w:asciiTheme="majorHAnsi" w:hAnsiTheme="majorHAnsi"/>
          <w:color w:val="0B0C0C"/>
          <w:szCs w:val="24"/>
        </w:rPr>
        <w:t xml:space="preserve">We will </w:t>
      </w:r>
      <w:r w:rsidRPr="004C0A58">
        <w:rPr>
          <w:rFonts w:asciiTheme="majorHAnsi" w:hAnsiTheme="majorHAnsi"/>
          <w:color w:val="0B0C0C"/>
          <w:szCs w:val="24"/>
        </w:rPr>
        <w:t xml:space="preserve">keep </w:t>
      </w:r>
      <w:r>
        <w:rPr>
          <w:rFonts w:asciiTheme="majorHAnsi" w:hAnsiTheme="majorHAnsi"/>
          <w:color w:val="0B0C0C"/>
          <w:szCs w:val="24"/>
        </w:rPr>
        <w:t xml:space="preserve">our </w:t>
      </w:r>
      <w:r w:rsidRPr="004C0A58">
        <w:rPr>
          <w:rFonts w:asciiTheme="majorHAnsi" w:hAnsiTheme="majorHAnsi"/>
          <w:color w:val="0B0C0C"/>
          <w:szCs w:val="24"/>
        </w:rPr>
        <w:t>reserves policy and the level of reserves held under review</w:t>
      </w:r>
      <w:r>
        <w:rPr>
          <w:rFonts w:asciiTheme="majorHAnsi" w:hAnsiTheme="majorHAnsi"/>
          <w:color w:val="0B0C0C"/>
          <w:szCs w:val="24"/>
        </w:rPr>
        <w:t xml:space="preserve">, </w:t>
      </w:r>
      <w:r w:rsidRPr="004C0A58">
        <w:rPr>
          <w:rFonts w:asciiTheme="majorHAnsi" w:hAnsiTheme="majorHAnsi"/>
          <w:color w:val="0B0C0C"/>
          <w:szCs w:val="24"/>
        </w:rPr>
        <w:t>monitor the level of reserves held throughout the year</w:t>
      </w:r>
      <w:r>
        <w:rPr>
          <w:rFonts w:asciiTheme="majorHAnsi" w:hAnsiTheme="majorHAnsi"/>
          <w:color w:val="0B0C0C"/>
          <w:szCs w:val="24"/>
        </w:rPr>
        <w:t xml:space="preserve"> </w:t>
      </w:r>
      <w:r w:rsidRPr="004C0A58">
        <w:rPr>
          <w:rFonts w:asciiTheme="majorHAnsi" w:hAnsiTheme="majorHAnsi"/>
          <w:color w:val="0B0C0C"/>
          <w:szCs w:val="24"/>
        </w:rPr>
        <w:t xml:space="preserve">to establish the reason for any significant difference with the target level set. If reserves during the year are below target or exceed target, </w:t>
      </w:r>
      <w:r>
        <w:rPr>
          <w:rFonts w:asciiTheme="majorHAnsi" w:hAnsiTheme="majorHAnsi"/>
          <w:color w:val="0B0C0C"/>
          <w:szCs w:val="24"/>
        </w:rPr>
        <w:t xml:space="preserve">we will </w:t>
      </w:r>
      <w:r w:rsidRPr="004C0A58">
        <w:rPr>
          <w:rFonts w:asciiTheme="majorHAnsi" w:hAnsiTheme="majorHAnsi"/>
          <w:color w:val="0B0C0C"/>
          <w:szCs w:val="24"/>
        </w:rPr>
        <w:t>consider whether this is due to a short-term situation or a longer-term issue</w:t>
      </w:r>
      <w:r>
        <w:rPr>
          <w:rFonts w:asciiTheme="majorHAnsi" w:hAnsiTheme="majorHAnsi"/>
          <w:color w:val="0B0C0C"/>
          <w:szCs w:val="24"/>
        </w:rPr>
        <w:t xml:space="preserve">, and take any appropriate action. </w:t>
      </w:r>
    </w:p>
    <w:p w14:paraId="5A39DA55" w14:textId="69BD919B" w:rsidR="005F638D" w:rsidRPr="005F638D" w:rsidRDefault="005F638D" w:rsidP="00EC5C78">
      <w:pPr>
        <w:pStyle w:val="NormalWeb"/>
        <w:shd w:val="clear" w:color="auto" w:fill="FFFFFF"/>
        <w:spacing w:before="300" w:beforeAutospacing="0" w:after="300" w:afterAutospacing="0" w:line="276" w:lineRule="auto"/>
        <w:rPr>
          <w:rFonts w:ascii="Century Gothic" w:eastAsiaTheme="majorEastAsia" w:hAnsi="Century Gothic" w:cstheme="majorBidi"/>
          <w:b/>
          <w:bCs/>
          <w:color w:val="1F4E79" w:themeColor="accent5" w:themeShade="80"/>
          <w:sz w:val="28"/>
          <w:szCs w:val="28"/>
          <w:lang w:val="en-GB"/>
        </w:rPr>
      </w:pPr>
      <w:r w:rsidRPr="005F638D">
        <w:rPr>
          <w:rFonts w:ascii="Century Gothic" w:eastAsiaTheme="majorEastAsia" w:hAnsi="Century Gothic" w:cstheme="majorBidi"/>
          <w:b/>
          <w:bCs/>
          <w:color w:val="1F4E79" w:themeColor="accent5" w:themeShade="80"/>
          <w:sz w:val="28"/>
          <w:szCs w:val="28"/>
          <w:lang w:val="en-GB"/>
        </w:rPr>
        <w:t>Annual Reporting</w:t>
      </w:r>
    </w:p>
    <w:p w14:paraId="2BA7912D" w14:textId="21DF2198" w:rsidR="005F638D" w:rsidRDefault="005F638D" w:rsidP="00EC5C78">
      <w:pPr>
        <w:pStyle w:val="NormalWeb"/>
        <w:shd w:val="clear" w:color="auto" w:fill="FFFFFF"/>
        <w:spacing w:before="75" w:beforeAutospacing="0" w:after="300" w:afterAutospacing="0" w:line="276" w:lineRule="auto"/>
        <w:rPr>
          <w:rFonts w:asciiTheme="majorHAnsi" w:hAnsiTheme="majorHAnsi"/>
          <w:color w:val="0B0C0C"/>
          <w:szCs w:val="24"/>
        </w:rPr>
      </w:pPr>
      <w:r>
        <w:rPr>
          <w:rFonts w:asciiTheme="majorHAnsi" w:hAnsiTheme="majorHAnsi"/>
          <w:color w:val="0B0C0C"/>
          <w:szCs w:val="24"/>
        </w:rPr>
        <w:t xml:space="preserve">We will </w:t>
      </w:r>
      <w:r w:rsidRPr="004C0A58">
        <w:rPr>
          <w:rFonts w:asciiTheme="majorHAnsi" w:hAnsiTheme="majorHAnsi"/>
          <w:color w:val="0B0C0C"/>
          <w:szCs w:val="24"/>
        </w:rPr>
        <w:t xml:space="preserve">include in </w:t>
      </w:r>
      <w:r>
        <w:rPr>
          <w:rFonts w:asciiTheme="majorHAnsi" w:hAnsiTheme="majorHAnsi"/>
          <w:color w:val="0B0C0C"/>
          <w:szCs w:val="24"/>
        </w:rPr>
        <w:t xml:space="preserve">our </w:t>
      </w:r>
      <w:r w:rsidRPr="004C0A58">
        <w:rPr>
          <w:rFonts w:asciiTheme="majorHAnsi" w:hAnsiTheme="majorHAnsi"/>
          <w:color w:val="0B0C0C"/>
          <w:szCs w:val="24"/>
        </w:rPr>
        <w:t xml:space="preserve">annual report </w:t>
      </w:r>
      <w:r>
        <w:rPr>
          <w:rFonts w:asciiTheme="majorHAnsi" w:hAnsiTheme="majorHAnsi"/>
          <w:color w:val="0B0C0C"/>
          <w:szCs w:val="24"/>
        </w:rPr>
        <w:t xml:space="preserve">our </w:t>
      </w:r>
      <w:r w:rsidRPr="004C0A58">
        <w:rPr>
          <w:rFonts w:asciiTheme="majorHAnsi" w:hAnsiTheme="majorHAnsi"/>
          <w:color w:val="0B0C0C"/>
          <w:szCs w:val="24"/>
        </w:rPr>
        <w:t>policy on reserves, stating the level of reserves held and why the</w:t>
      </w:r>
      <w:r>
        <w:rPr>
          <w:rFonts w:asciiTheme="majorHAnsi" w:hAnsiTheme="majorHAnsi"/>
          <w:color w:val="0B0C0C"/>
          <w:szCs w:val="24"/>
        </w:rPr>
        <w:t>se</w:t>
      </w:r>
      <w:r w:rsidRPr="004C0A58">
        <w:rPr>
          <w:rFonts w:asciiTheme="majorHAnsi" w:hAnsiTheme="majorHAnsi"/>
          <w:color w:val="0B0C0C"/>
          <w:szCs w:val="24"/>
        </w:rPr>
        <w:t xml:space="preserve"> are held. </w:t>
      </w:r>
      <w:r>
        <w:rPr>
          <w:rFonts w:asciiTheme="majorHAnsi" w:hAnsiTheme="majorHAnsi"/>
          <w:color w:val="0B0C0C"/>
          <w:szCs w:val="24"/>
        </w:rPr>
        <w:t xml:space="preserve"> If </w:t>
      </w:r>
      <w:r w:rsidRPr="004C0A58">
        <w:rPr>
          <w:rFonts w:asciiTheme="majorHAnsi" w:hAnsiTheme="majorHAnsi"/>
          <w:color w:val="0B0C0C"/>
          <w:szCs w:val="24"/>
        </w:rPr>
        <w:t xml:space="preserve">material funds have been designated, the reserves policy statement </w:t>
      </w:r>
      <w:r>
        <w:rPr>
          <w:rFonts w:asciiTheme="majorHAnsi" w:hAnsiTheme="majorHAnsi"/>
          <w:color w:val="0B0C0C"/>
          <w:szCs w:val="24"/>
        </w:rPr>
        <w:t>will</w:t>
      </w:r>
      <w:r w:rsidRPr="004C0A58">
        <w:rPr>
          <w:rFonts w:asciiTheme="majorHAnsi" w:hAnsiTheme="majorHAnsi"/>
          <w:color w:val="0B0C0C"/>
          <w:szCs w:val="24"/>
        </w:rPr>
        <w:t xml:space="preserve"> quantify and explain the purposes of these designations and, where set aside for future expenditure, the likely timing of the expenditure.</w:t>
      </w:r>
    </w:p>
    <w:p w14:paraId="08187693" w14:textId="7E074622" w:rsidR="00672F99" w:rsidRPr="00672F99" w:rsidRDefault="00672F99" w:rsidP="00EC5C78">
      <w:pPr>
        <w:pStyle w:val="NormalWeb"/>
        <w:shd w:val="clear" w:color="auto" w:fill="FFFFFF"/>
        <w:spacing w:before="0" w:beforeAutospacing="0" w:after="0" w:afterAutospacing="0" w:line="276" w:lineRule="auto"/>
        <w:rPr>
          <w:rFonts w:asciiTheme="majorHAnsi" w:hAnsiTheme="majorHAnsi"/>
          <w:color w:val="0B0C0C"/>
          <w:szCs w:val="24"/>
        </w:rPr>
      </w:pPr>
      <w:r w:rsidRPr="00672F99">
        <w:rPr>
          <w:rFonts w:asciiTheme="majorHAnsi" w:hAnsiTheme="majorHAnsi"/>
          <w:color w:val="0B0C0C"/>
          <w:szCs w:val="24"/>
        </w:rPr>
        <w:t>We will ensure that our reporting of our reserves policy meets the requirements of the </w:t>
      </w:r>
      <w:hyperlink r:id="rId10" w:history="1">
        <w:r w:rsidRPr="00672F99">
          <w:rPr>
            <w:rStyle w:val="Hyperlink"/>
            <w:rFonts w:asciiTheme="majorHAnsi" w:hAnsiTheme="majorHAnsi"/>
            <w:color w:val="1D70B8"/>
            <w:szCs w:val="24"/>
          </w:rPr>
          <w:t>Charities Statement of Recommended Practice (SORP) (FRS 102) and the requirements of the Regulations</w:t>
        </w:r>
      </w:hyperlink>
      <w:r w:rsidRPr="00672F99">
        <w:rPr>
          <w:rFonts w:asciiTheme="majorHAnsi" w:hAnsiTheme="majorHAnsi"/>
          <w:color w:val="0B0C0C"/>
          <w:szCs w:val="24"/>
        </w:rPr>
        <w:t>.</w:t>
      </w:r>
    </w:p>
    <w:p w14:paraId="7DA5B640" w14:textId="04C64616" w:rsidR="00EC5C78" w:rsidRDefault="00EC5C78" w:rsidP="00EC5C78">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Investing Reserves</w:t>
      </w:r>
    </w:p>
    <w:p w14:paraId="7A4E42FF" w14:textId="766C2A08" w:rsidR="00EC5C78" w:rsidRPr="00EC5C78" w:rsidRDefault="00EC5C78" w:rsidP="00EC5C78">
      <w:pPr>
        <w:spacing w:before="100" w:beforeAutospacing="1" w:after="100" w:afterAutospacing="1" w:line="276" w:lineRule="auto"/>
        <w:textAlignment w:val="baseline"/>
        <w:rPr>
          <w:rFonts w:asciiTheme="majorHAnsi" w:hAnsiTheme="majorHAnsi"/>
          <w:color w:val="0B0C0C"/>
          <w:szCs w:val="24"/>
          <w:lang w:val="en-US"/>
        </w:rPr>
      </w:pPr>
      <w:r w:rsidRPr="00EC5C78">
        <w:rPr>
          <w:rFonts w:asciiTheme="majorHAnsi" w:hAnsiTheme="majorHAnsi"/>
          <w:color w:val="0B0C0C"/>
          <w:szCs w:val="24"/>
          <w:lang w:val="en-US"/>
        </w:rPr>
        <w:t>When significant resources are held in reserves from year to year, the trustees should consider whether some or all of the reserves can be invested to obtain a financial return for the charity. In making the investment decision, the trustees should consider when the reserves might be needed (liquidity of the investment) and the acceptable level of investment risk.</w:t>
      </w:r>
    </w:p>
    <w:p w14:paraId="13A64259" w14:textId="1F5792C1" w:rsidR="00EF58D2" w:rsidRDefault="00EF58D2" w:rsidP="00EC5C78">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p w14:paraId="0AA6E6D9" w14:textId="239E8F13" w:rsidR="005F638D" w:rsidRPr="005F638D" w:rsidRDefault="005F638D" w:rsidP="00EC5C78">
      <w:pPr>
        <w:spacing w:before="100" w:beforeAutospacing="1" w:after="100" w:afterAutospacing="1" w:line="276" w:lineRule="auto"/>
        <w:textAlignment w:val="baseline"/>
        <w:rPr>
          <w:rFonts w:asciiTheme="majorHAnsi" w:hAnsiTheme="majorHAnsi"/>
          <w:color w:val="0B0C0C"/>
          <w:szCs w:val="24"/>
          <w:lang w:val="en-US"/>
        </w:rPr>
      </w:pPr>
      <w:r w:rsidRPr="005F638D">
        <w:rPr>
          <w:rFonts w:asciiTheme="majorHAnsi" w:hAnsiTheme="majorHAnsi"/>
          <w:color w:val="0B0C0C"/>
          <w:szCs w:val="24"/>
          <w:lang w:val="en-US"/>
        </w:rPr>
        <w:t xml:space="preserve">This policy will be reviewed by the Board annually, as part of our financial planning cycle. </w:t>
      </w:r>
    </w:p>
    <w:tbl>
      <w:tblPr>
        <w:tblStyle w:val="TableGrid"/>
        <w:tblW w:w="0" w:type="auto"/>
        <w:tblLook w:val="04A0" w:firstRow="1" w:lastRow="0" w:firstColumn="1" w:lastColumn="0" w:noHBand="0" w:noVBand="1"/>
      </w:tblPr>
      <w:tblGrid>
        <w:gridCol w:w="987"/>
        <w:gridCol w:w="1417"/>
        <w:gridCol w:w="1276"/>
        <w:gridCol w:w="5104"/>
        <w:gridCol w:w="1559"/>
      </w:tblGrid>
      <w:tr w:rsidR="00EF58D2" w14:paraId="0370E510" w14:textId="77777777" w:rsidTr="00986B51">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C4C1CAE" w14:textId="77777777" w:rsidR="00EF58D2" w:rsidRPr="00161611" w:rsidRDefault="00EF58D2" w:rsidP="00EC5C78">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EF542EF" w14:textId="77777777" w:rsidR="00EF58D2" w:rsidRPr="00161611" w:rsidRDefault="00EF58D2" w:rsidP="00EC5C78">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15B140" w14:textId="77777777" w:rsidR="00EF58D2" w:rsidRPr="00161611" w:rsidRDefault="00EF58D2" w:rsidP="00EC5C78">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53DC9B3" w14:textId="77777777" w:rsidR="00EF58D2" w:rsidRPr="00161611" w:rsidRDefault="00EF58D2" w:rsidP="00EC5C78">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E6FD5FB" w14:textId="77777777" w:rsidR="00EF58D2" w:rsidRPr="00161611" w:rsidRDefault="00EF58D2" w:rsidP="00EC5C78">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EF58D2" w14:paraId="5C959BB5" w14:textId="77777777" w:rsidTr="00986B51">
        <w:tc>
          <w:tcPr>
            <w:tcW w:w="987" w:type="dxa"/>
            <w:tcBorders>
              <w:top w:val="single" w:sz="4" w:space="0" w:color="auto"/>
              <w:left w:val="single" w:sz="4" w:space="0" w:color="auto"/>
              <w:bottom w:val="single" w:sz="4" w:space="0" w:color="auto"/>
              <w:right w:val="single" w:sz="4" w:space="0" w:color="auto"/>
            </w:tcBorders>
            <w:vAlign w:val="center"/>
            <w:hideMark/>
          </w:tcPr>
          <w:p w14:paraId="1D10595A" w14:textId="77777777" w:rsidR="00EF58D2" w:rsidRPr="00161611" w:rsidRDefault="00EF58D2" w:rsidP="00EC5C78">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409090" w14:textId="77777777" w:rsidR="00EF58D2" w:rsidRPr="00161611" w:rsidRDefault="00EF58D2" w:rsidP="00EC5C78">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F6A700" w14:textId="0FBBD040" w:rsidR="00EF58D2" w:rsidRPr="00161611" w:rsidRDefault="00CE55BC" w:rsidP="00EC5C78">
            <w:pPr>
              <w:spacing w:line="276" w:lineRule="auto"/>
              <w:jc w:val="center"/>
              <w:rPr>
                <w:rFonts w:asciiTheme="majorHAnsi" w:hAnsiTheme="majorHAnsi"/>
                <w:color w:val="auto"/>
              </w:rPr>
            </w:pPr>
            <w:r>
              <w:rPr>
                <w:rFonts w:asciiTheme="majorHAnsi" w:hAnsiTheme="majorHAnsi"/>
                <w:color w:val="auto"/>
              </w:rPr>
              <w:t>Apr 23</w:t>
            </w:r>
          </w:p>
        </w:tc>
        <w:tc>
          <w:tcPr>
            <w:tcW w:w="5104" w:type="dxa"/>
            <w:tcBorders>
              <w:top w:val="single" w:sz="4" w:space="0" w:color="auto"/>
              <w:left w:val="single" w:sz="4" w:space="0" w:color="auto"/>
              <w:bottom w:val="single" w:sz="4" w:space="0" w:color="auto"/>
              <w:right w:val="single" w:sz="4" w:space="0" w:color="auto"/>
            </w:tcBorders>
            <w:vAlign w:val="center"/>
          </w:tcPr>
          <w:p w14:paraId="6B7177CD" w14:textId="77777777" w:rsidR="00EF58D2" w:rsidRPr="00161611" w:rsidRDefault="00EF58D2" w:rsidP="00EC5C78">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0DD447" w14:textId="77777777" w:rsidR="00EF58D2" w:rsidRPr="00161611" w:rsidRDefault="00EF58D2" w:rsidP="00EC5C78">
            <w:pPr>
              <w:spacing w:line="276" w:lineRule="auto"/>
              <w:jc w:val="center"/>
              <w:rPr>
                <w:rFonts w:asciiTheme="majorHAnsi" w:hAnsiTheme="majorHAnsi"/>
                <w:color w:val="auto"/>
              </w:rPr>
            </w:pPr>
            <w:r w:rsidRPr="00161611">
              <w:rPr>
                <w:rFonts w:asciiTheme="majorHAnsi" w:hAnsiTheme="majorHAnsi"/>
                <w:color w:val="auto"/>
              </w:rPr>
              <w:t>Annually</w:t>
            </w:r>
          </w:p>
        </w:tc>
      </w:tr>
      <w:tr w:rsidR="00EF58D2" w14:paraId="401E6A21"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72834897" w14:textId="77777777" w:rsidR="00EF58D2" w:rsidRPr="00EE644F" w:rsidRDefault="00EF58D2" w:rsidP="00EC5C78">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3184C0E4" w14:textId="77777777" w:rsidR="00EF58D2" w:rsidRPr="00EE644F" w:rsidRDefault="00EF58D2" w:rsidP="00EC5C78">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4CE8C45E" w14:textId="77777777" w:rsidR="00EF58D2" w:rsidRPr="00EE644F" w:rsidRDefault="00EF58D2" w:rsidP="00EC5C78">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18C22650" w14:textId="77777777" w:rsidR="00EF58D2" w:rsidRPr="00EE644F" w:rsidRDefault="00EF58D2" w:rsidP="00EC5C78">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B448E92" w14:textId="77777777" w:rsidR="00EF58D2" w:rsidRPr="00EE644F" w:rsidRDefault="00EF58D2" w:rsidP="00EC5C78">
            <w:pPr>
              <w:spacing w:line="276" w:lineRule="auto"/>
              <w:jc w:val="center"/>
              <w:rPr>
                <w:rFonts w:ascii="Corbel Light" w:hAnsi="Corbel Light"/>
                <w:color w:val="auto"/>
              </w:rPr>
            </w:pPr>
          </w:p>
        </w:tc>
      </w:tr>
      <w:tr w:rsidR="00EF58D2" w14:paraId="55FC1C29"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69DA4DD3" w14:textId="77777777" w:rsidR="00EF58D2" w:rsidRPr="00EE644F" w:rsidRDefault="00EF58D2" w:rsidP="00EC5C78">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6E88FAF" w14:textId="77777777" w:rsidR="00EF58D2" w:rsidRPr="00EE644F" w:rsidRDefault="00EF58D2" w:rsidP="00EC5C78">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2DD2C53" w14:textId="77777777" w:rsidR="00EF58D2" w:rsidRPr="00EE644F" w:rsidRDefault="00EF58D2" w:rsidP="00EC5C78">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09FA60D2" w14:textId="77777777" w:rsidR="00EF58D2" w:rsidRPr="00EE644F" w:rsidRDefault="00EF58D2" w:rsidP="00EC5C78">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56104A5" w14:textId="77777777" w:rsidR="00EF58D2" w:rsidRPr="00EE644F" w:rsidRDefault="00EF58D2" w:rsidP="00EC5C78">
            <w:pPr>
              <w:spacing w:line="276" w:lineRule="auto"/>
              <w:jc w:val="center"/>
              <w:rPr>
                <w:rFonts w:ascii="Corbel Light" w:hAnsi="Corbel Light"/>
                <w:color w:val="auto"/>
              </w:rPr>
            </w:pPr>
          </w:p>
        </w:tc>
      </w:tr>
    </w:tbl>
    <w:p w14:paraId="0DC9A2CB" w14:textId="77777777" w:rsidR="00EF58D2" w:rsidRDefault="00EF58D2" w:rsidP="00EC5C7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2E47BB0" w14:textId="4426B2B2" w:rsidR="00EF58D2" w:rsidRDefault="00EF58D2" w:rsidP="00EC5C78">
      <w:pPr>
        <w:pStyle w:val="Heading1"/>
        <w:shd w:val="clear" w:color="auto" w:fill="FFFFFF"/>
        <w:spacing w:before="0" w:beforeAutospacing="0" w:after="0" w:afterAutospacing="0" w:line="276" w:lineRule="auto"/>
        <w:rPr>
          <w:rFonts w:ascii="Century Gothic" w:hAnsi="Century Gothic"/>
          <w:color w:val="1F4E79" w:themeColor="accent5" w:themeShade="80"/>
          <w:kern w:val="28"/>
          <w:sz w:val="28"/>
          <w:szCs w:val="28"/>
          <w:lang w:eastAsia="en-US"/>
        </w:rPr>
      </w:pPr>
      <w:bookmarkStart w:id="1" w:name="_Hlk131316199"/>
      <w:r w:rsidRPr="00BC735F">
        <w:rPr>
          <w:rFonts w:ascii="Century Gothic" w:hAnsi="Century Gothic"/>
          <w:color w:val="1F4E79" w:themeColor="accent5" w:themeShade="80"/>
          <w:kern w:val="28"/>
          <w:sz w:val="28"/>
          <w:szCs w:val="28"/>
          <w:lang w:eastAsia="en-US"/>
        </w:rPr>
        <w:t>Regulatory Guidance</w:t>
      </w:r>
    </w:p>
    <w:p w14:paraId="1BA22DBC" w14:textId="37C13B52" w:rsidR="005F638D" w:rsidRDefault="005F638D" w:rsidP="00EC5C78">
      <w:pPr>
        <w:pStyle w:val="Heading1"/>
        <w:shd w:val="clear" w:color="auto" w:fill="FFFFFF"/>
        <w:spacing w:before="0" w:beforeAutospacing="0" w:after="0" w:afterAutospacing="0" w:line="276" w:lineRule="auto"/>
        <w:rPr>
          <w:rFonts w:ascii="Century Gothic" w:hAnsi="Century Gothic"/>
          <w:color w:val="1F4E79" w:themeColor="accent5" w:themeShade="80"/>
          <w:kern w:val="28"/>
          <w:sz w:val="28"/>
          <w:szCs w:val="28"/>
          <w:lang w:eastAsia="en-US"/>
        </w:rPr>
      </w:pPr>
    </w:p>
    <w:p w14:paraId="456A1968" w14:textId="360B348E" w:rsidR="00672F99" w:rsidRDefault="00672F99" w:rsidP="00EC5C78">
      <w:pPr>
        <w:pStyle w:val="NormalWeb"/>
        <w:shd w:val="clear" w:color="auto" w:fill="FFFFFF"/>
        <w:spacing w:before="300" w:beforeAutospacing="0" w:after="300" w:afterAutospacing="0"/>
        <w:rPr>
          <w:rFonts w:asciiTheme="majorHAnsi" w:hAnsiTheme="majorHAnsi"/>
          <w:color w:val="0B0C0C"/>
          <w:szCs w:val="24"/>
        </w:rPr>
      </w:pPr>
      <w:r>
        <w:rPr>
          <w:rFonts w:asciiTheme="majorHAnsi" w:hAnsiTheme="majorHAnsi"/>
          <w:color w:val="0B0C0C"/>
          <w:szCs w:val="24"/>
        </w:rPr>
        <w:lastRenderedPageBreak/>
        <w:t xml:space="preserve">Charity Commission - </w:t>
      </w:r>
      <w:hyperlink r:id="rId11" w:anchor="understanding-reserves-and-the-need-for-a-reserves-policy" w:history="1">
        <w:r w:rsidRPr="00672F99">
          <w:rPr>
            <w:rStyle w:val="Hyperlink"/>
            <w:rFonts w:asciiTheme="majorHAnsi" w:hAnsiTheme="majorHAnsi"/>
            <w:szCs w:val="24"/>
          </w:rPr>
          <w:t>Charity reserves: building resilience</w:t>
        </w:r>
      </w:hyperlink>
      <w:r>
        <w:rPr>
          <w:rFonts w:asciiTheme="majorHAnsi" w:hAnsiTheme="majorHAnsi"/>
          <w:color w:val="0B0C0C"/>
          <w:szCs w:val="24"/>
        </w:rPr>
        <w:t>.</w:t>
      </w:r>
    </w:p>
    <w:p w14:paraId="6B25D14E" w14:textId="4918F46B" w:rsidR="00EF58D2" w:rsidRDefault="005F638D" w:rsidP="00EC5C78">
      <w:pPr>
        <w:pStyle w:val="NormalWeb"/>
        <w:shd w:val="clear" w:color="auto" w:fill="FFFFFF"/>
        <w:spacing w:before="300" w:beforeAutospacing="0" w:after="300" w:afterAutospacing="0"/>
        <w:rPr>
          <w:rFonts w:asciiTheme="majorHAnsi" w:hAnsiTheme="majorHAnsi"/>
          <w:color w:val="0B0C0C"/>
          <w:szCs w:val="24"/>
        </w:rPr>
      </w:pPr>
      <w:r>
        <w:rPr>
          <w:rFonts w:asciiTheme="majorHAnsi" w:hAnsiTheme="majorHAnsi"/>
          <w:color w:val="0B0C0C"/>
          <w:szCs w:val="24"/>
        </w:rPr>
        <w:t xml:space="preserve">Charity Commission - </w:t>
      </w:r>
      <w:hyperlink r:id="rId12" w:history="1">
        <w:r w:rsidRPr="004C0A58">
          <w:rPr>
            <w:rStyle w:val="Hyperlink"/>
            <w:rFonts w:asciiTheme="majorHAnsi" w:hAnsiTheme="majorHAnsi"/>
            <w:color w:val="1D70B8"/>
            <w:szCs w:val="24"/>
          </w:rPr>
          <w:t>Managing a charity’s finances: planning, managing difficulties and insolvency (CC12)</w:t>
        </w:r>
      </w:hyperlink>
      <w:r w:rsidRPr="004C0A58">
        <w:rPr>
          <w:rFonts w:asciiTheme="majorHAnsi" w:hAnsiTheme="majorHAnsi"/>
          <w:color w:val="0B0C0C"/>
          <w:szCs w:val="24"/>
        </w:rPr>
        <w:t>.</w:t>
      </w:r>
    </w:p>
    <w:p w14:paraId="5D658788" w14:textId="4C409F42" w:rsidR="00672F99" w:rsidRDefault="00672F99" w:rsidP="00EC5C78">
      <w:pPr>
        <w:pStyle w:val="NormalWeb"/>
        <w:shd w:val="clear" w:color="auto" w:fill="FFFFFF"/>
        <w:spacing w:before="300" w:beforeAutospacing="0" w:after="300" w:afterAutospacing="0"/>
        <w:rPr>
          <w:rFonts w:asciiTheme="majorHAnsi" w:hAnsiTheme="majorHAnsi"/>
          <w:color w:val="0B0C0C"/>
          <w:szCs w:val="24"/>
        </w:rPr>
      </w:pPr>
      <w:r>
        <w:rPr>
          <w:rFonts w:asciiTheme="majorHAnsi" w:hAnsiTheme="majorHAnsi"/>
          <w:color w:val="0B0C0C"/>
          <w:szCs w:val="24"/>
        </w:rPr>
        <w:t xml:space="preserve">Charity Commission - </w:t>
      </w:r>
      <w:hyperlink r:id="rId13" w:history="1">
        <w:r w:rsidRPr="00672F99">
          <w:rPr>
            <w:rStyle w:val="Hyperlink"/>
            <w:rFonts w:asciiTheme="majorHAnsi" w:hAnsiTheme="majorHAnsi"/>
            <w:szCs w:val="24"/>
          </w:rPr>
          <w:t>Charities and Risk Management</w:t>
        </w:r>
      </w:hyperlink>
      <w:r>
        <w:rPr>
          <w:rFonts w:asciiTheme="majorHAnsi" w:hAnsiTheme="majorHAnsi"/>
          <w:color w:val="0B0C0C"/>
          <w:szCs w:val="24"/>
        </w:rPr>
        <w:t>.</w:t>
      </w:r>
    </w:p>
    <w:p w14:paraId="662A8995" w14:textId="5DAF78A0" w:rsidR="0096070A" w:rsidRDefault="0096070A" w:rsidP="00EC5C78">
      <w:pPr>
        <w:pStyle w:val="NormalWeb"/>
        <w:shd w:val="clear" w:color="auto" w:fill="FFFFFF"/>
        <w:spacing w:before="300" w:beforeAutospacing="0" w:after="300" w:afterAutospacing="0"/>
        <w:rPr>
          <w:rFonts w:asciiTheme="majorHAnsi" w:hAnsiTheme="majorHAnsi"/>
          <w:color w:val="0B0C0C"/>
          <w:szCs w:val="24"/>
        </w:rPr>
      </w:pPr>
      <w:r>
        <w:rPr>
          <w:rFonts w:asciiTheme="majorHAnsi" w:hAnsiTheme="majorHAnsi"/>
          <w:color w:val="0B0C0C"/>
          <w:szCs w:val="24"/>
        </w:rPr>
        <w:t xml:space="preserve">Charity Commission - </w:t>
      </w:r>
      <w:hyperlink r:id="rId14" w:history="1">
        <w:r w:rsidRPr="0096070A">
          <w:rPr>
            <w:rStyle w:val="Hyperlink"/>
            <w:rFonts w:asciiTheme="majorHAnsi" w:hAnsiTheme="majorHAnsi"/>
            <w:szCs w:val="24"/>
          </w:rPr>
          <w:t>Example trustees' annual reports and accounts for charities</w:t>
        </w:r>
      </w:hyperlink>
      <w:r>
        <w:rPr>
          <w:rFonts w:asciiTheme="majorHAnsi" w:hAnsiTheme="majorHAnsi"/>
          <w:color w:val="0B0C0C"/>
          <w:szCs w:val="24"/>
        </w:rPr>
        <w:t>.</w:t>
      </w:r>
    </w:p>
    <w:p w14:paraId="40219FBE" w14:textId="77777777" w:rsidR="00E70AB3" w:rsidRPr="00E70AB3" w:rsidRDefault="00E70AB3" w:rsidP="00E70AB3">
      <w:pPr>
        <w:shd w:val="clear" w:color="auto" w:fill="FFFFFF"/>
        <w:spacing w:line="276" w:lineRule="auto"/>
        <w:outlineLvl w:val="0"/>
        <w:rPr>
          <w:rFonts w:ascii="Century Gothic" w:hAnsi="Century Gothic"/>
          <w:b/>
          <w:bCs/>
          <w:color w:val="1F4E79" w:themeColor="accent5" w:themeShade="80"/>
          <w:spacing w:val="-3"/>
          <w:sz w:val="32"/>
          <w:szCs w:val="32"/>
        </w:rPr>
      </w:pPr>
      <w:bookmarkStart w:id="2" w:name="_Hlk133738093"/>
      <w:bookmarkEnd w:id="0"/>
      <w:bookmarkEnd w:id="1"/>
      <w:r w:rsidRPr="00E70AB3">
        <w:rPr>
          <w:rFonts w:ascii="Century Gothic" w:hAnsi="Century Gothic"/>
          <w:b/>
          <w:bCs/>
          <w:color w:val="1F4E79" w:themeColor="accent5" w:themeShade="80"/>
          <w:spacing w:val="-3"/>
          <w:sz w:val="32"/>
          <w:szCs w:val="32"/>
        </w:rPr>
        <w:t>Disclaimer &amp; Legal</w:t>
      </w:r>
    </w:p>
    <w:p w14:paraId="64FA181C" w14:textId="77777777" w:rsidR="00E70AB3" w:rsidRPr="00E70AB3" w:rsidRDefault="00E70AB3" w:rsidP="00E70AB3">
      <w:pPr>
        <w:shd w:val="clear" w:color="auto" w:fill="FFFFFF"/>
        <w:spacing w:line="276" w:lineRule="auto"/>
        <w:outlineLvl w:val="0"/>
        <w:rPr>
          <w:rFonts w:asciiTheme="majorHAnsi" w:hAnsiTheme="majorHAnsi"/>
          <w:color w:val="auto"/>
          <w:spacing w:val="-3"/>
          <w:szCs w:val="24"/>
        </w:rPr>
      </w:pPr>
    </w:p>
    <w:p w14:paraId="697BCD13" w14:textId="77777777" w:rsidR="00E70AB3" w:rsidRPr="00E70AB3" w:rsidRDefault="00E70AB3" w:rsidP="00E70AB3">
      <w:pPr>
        <w:shd w:val="clear" w:color="auto" w:fill="FFFFFF"/>
        <w:spacing w:line="276" w:lineRule="auto"/>
        <w:outlineLvl w:val="0"/>
        <w:rPr>
          <w:rFonts w:asciiTheme="majorHAnsi" w:hAnsiTheme="majorHAnsi"/>
          <w:color w:val="auto"/>
          <w:spacing w:val="-3"/>
          <w:szCs w:val="24"/>
        </w:rPr>
      </w:pPr>
      <w:r w:rsidRPr="00E70AB3">
        <w:rPr>
          <w:rFonts w:asciiTheme="majorHAnsi" w:hAnsiTheme="majorHAnsi"/>
          <w:color w:val="auto"/>
          <w:spacing w:val="-3"/>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4D77491D" w14:textId="77777777" w:rsidR="00E70AB3" w:rsidRPr="00E70AB3" w:rsidRDefault="00E70AB3" w:rsidP="00E70AB3">
      <w:pPr>
        <w:shd w:val="clear" w:color="auto" w:fill="FFFFFF"/>
        <w:spacing w:line="276" w:lineRule="auto"/>
        <w:outlineLvl w:val="0"/>
        <w:rPr>
          <w:rFonts w:asciiTheme="majorHAnsi" w:hAnsiTheme="majorHAnsi"/>
          <w:color w:val="auto"/>
          <w:spacing w:val="-3"/>
          <w:szCs w:val="24"/>
        </w:rPr>
      </w:pPr>
    </w:p>
    <w:p w14:paraId="743CB6FF" w14:textId="77777777" w:rsidR="00E70AB3" w:rsidRPr="00E70AB3" w:rsidRDefault="00E70AB3" w:rsidP="00E70AB3">
      <w:pPr>
        <w:shd w:val="clear" w:color="auto" w:fill="FFFFFF"/>
        <w:spacing w:line="276" w:lineRule="auto"/>
        <w:outlineLvl w:val="0"/>
        <w:rPr>
          <w:rFonts w:asciiTheme="majorHAnsi" w:hAnsiTheme="majorHAnsi"/>
          <w:color w:val="auto"/>
          <w:spacing w:val="-3"/>
          <w:szCs w:val="24"/>
        </w:rPr>
      </w:pPr>
      <w:r w:rsidRPr="00E70AB3">
        <w:rPr>
          <w:rFonts w:asciiTheme="majorHAnsi" w:hAnsiTheme="majorHAnsi"/>
          <w:color w:val="auto"/>
          <w:spacing w:val="-3"/>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58455031" w14:textId="77777777" w:rsidR="00E70AB3" w:rsidRPr="00E70AB3" w:rsidRDefault="00E70AB3" w:rsidP="00E70AB3">
      <w:pPr>
        <w:shd w:val="clear" w:color="auto" w:fill="FFFFFF"/>
        <w:spacing w:line="276" w:lineRule="auto"/>
        <w:outlineLvl w:val="0"/>
        <w:rPr>
          <w:rFonts w:asciiTheme="majorHAnsi" w:hAnsiTheme="majorHAnsi"/>
          <w:color w:val="auto"/>
          <w:spacing w:val="-3"/>
          <w:szCs w:val="24"/>
        </w:rPr>
      </w:pPr>
    </w:p>
    <w:p w14:paraId="762255DE" w14:textId="0452F2E3" w:rsidR="00E70AB3" w:rsidRPr="00E70AB3" w:rsidRDefault="00E70AB3" w:rsidP="00E70AB3">
      <w:pPr>
        <w:shd w:val="clear" w:color="auto" w:fill="FFFFFF"/>
        <w:spacing w:line="276" w:lineRule="auto"/>
        <w:outlineLvl w:val="0"/>
        <w:rPr>
          <w:rFonts w:asciiTheme="majorHAnsi" w:hAnsiTheme="majorHAnsi"/>
          <w:color w:val="auto"/>
          <w:spacing w:val="-3"/>
          <w:szCs w:val="24"/>
        </w:rPr>
      </w:pPr>
      <w:r w:rsidRPr="00E70AB3">
        <w:rPr>
          <w:rFonts w:asciiTheme="majorHAnsi" w:hAnsiTheme="majorHAnsi"/>
          <w:color w:val="auto"/>
          <w:spacing w:val="-3"/>
          <w:szCs w:val="24"/>
        </w:rPr>
        <w:t>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w:t>
      </w:r>
      <w:r>
        <w:rPr>
          <w:rFonts w:asciiTheme="majorHAnsi" w:hAnsiTheme="majorHAnsi"/>
          <w:color w:val="auto"/>
          <w:spacing w:val="-3"/>
          <w:szCs w:val="24"/>
        </w:rPr>
        <w:t>,</w:t>
      </w:r>
      <w:r w:rsidRPr="00E70AB3">
        <w:rPr>
          <w:rFonts w:asciiTheme="majorHAnsi" w:hAnsiTheme="majorHAnsi"/>
          <w:color w:val="auto"/>
          <w:spacing w:val="-3"/>
          <w:szCs w:val="24"/>
        </w:rPr>
        <w:t xml:space="preserve"> and you can find pro bono support using the Charity Excellence Help Finder. </w:t>
      </w:r>
    </w:p>
    <w:p w14:paraId="1E451F56" w14:textId="77777777" w:rsidR="00E70AB3" w:rsidRPr="00E70AB3" w:rsidRDefault="00E70AB3" w:rsidP="00E70AB3">
      <w:pPr>
        <w:shd w:val="clear" w:color="auto" w:fill="FFFFFF"/>
        <w:spacing w:line="276" w:lineRule="auto"/>
        <w:outlineLvl w:val="0"/>
        <w:rPr>
          <w:rFonts w:asciiTheme="majorHAnsi" w:hAnsiTheme="majorHAnsi"/>
          <w:color w:val="auto"/>
          <w:spacing w:val="-3"/>
          <w:szCs w:val="24"/>
        </w:rPr>
      </w:pPr>
    </w:p>
    <w:p w14:paraId="5CCFD91E" w14:textId="77777777" w:rsidR="00E70AB3" w:rsidRPr="00E70AB3" w:rsidRDefault="00E70AB3" w:rsidP="00E70AB3">
      <w:pPr>
        <w:shd w:val="clear" w:color="auto" w:fill="FFFFFF"/>
        <w:spacing w:line="276" w:lineRule="auto"/>
        <w:outlineLvl w:val="0"/>
        <w:rPr>
          <w:rFonts w:asciiTheme="majorHAnsi" w:hAnsiTheme="majorHAnsi"/>
          <w:color w:val="auto"/>
          <w:spacing w:val="-3"/>
          <w:szCs w:val="24"/>
        </w:rPr>
      </w:pPr>
      <w:r w:rsidRPr="00E70AB3">
        <w:rPr>
          <w:rFonts w:asciiTheme="majorHAnsi" w:hAnsiTheme="majorHAnsi"/>
          <w:color w:val="auto"/>
          <w:spacing w:val="-3"/>
          <w:szCs w:val="24"/>
        </w:rPr>
        <w:t xml:space="preserve">Ian </w:t>
      </w:r>
    </w:p>
    <w:p w14:paraId="2CC93A8D" w14:textId="77777777" w:rsidR="00E70AB3" w:rsidRPr="00E70AB3" w:rsidRDefault="00E70AB3" w:rsidP="00E70AB3">
      <w:pPr>
        <w:spacing w:after="160" w:line="259" w:lineRule="auto"/>
        <w:rPr>
          <w:rFonts w:ascii="Century Gothic" w:eastAsia="Calibri" w:hAnsi="Century Gothic" w:cs="Calibri"/>
          <w:b/>
          <w:bCs/>
          <w:noProof/>
          <w:color w:val="auto"/>
          <w:spacing w:val="0"/>
          <w:kern w:val="2"/>
          <w:sz w:val="22"/>
          <w:szCs w:val="24"/>
          <w:lang w:eastAsia="en-GB"/>
          <w14:ligatures w14:val="standardContextual"/>
        </w:rPr>
      </w:pPr>
    </w:p>
    <w:p w14:paraId="3ED80738" w14:textId="77777777" w:rsidR="00E70AB3" w:rsidRPr="00E70AB3" w:rsidRDefault="00E70AB3" w:rsidP="00E70AB3">
      <w:pPr>
        <w:spacing w:after="160" w:line="259" w:lineRule="auto"/>
        <w:rPr>
          <w:rFonts w:ascii="Century Gothic" w:eastAsia="Calibri" w:hAnsi="Century Gothic" w:cs="Calibri"/>
          <w:b/>
          <w:bCs/>
          <w:noProof/>
          <w:color w:val="auto"/>
          <w:spacing w:val="0"/>
          <w:kern w:val="2"/>
          <w:sz w:val="22"/>
          <w:szCs w:val="24"/>
          <w:lang w:eastAsia="en-GB"/>
          <w14:ligatures w14:val="standardContextual"/>
        </w:rPr>
      </w:pPr>
      <w:r w:rsidRPr="00E70AB3">
        <w:rPr>
          <w:rFonts w:ascii="Century Gothic" w:eastAsia="Calibri" w:hAnsi="Century Gothic" w:cs="Calibri"/>
          <w:b/>
          <w:bCs/>
          <w:noProof/>
          <w:color w:val="auto"/>
          <w:spacing w:val="0"/>
          <w:kern w:val="2"/>
          <w:sz w:val="22"/>
          <w:szCs w:val="24"/>
          <w:lang w:eastAsia="en-GB"/>
          <w14:ligatures w14:val="standardContextual"/>
        </w:rPr>
        <w:t xml:space="preserve">Ian McLintock </w:t>
      </w:r>
      <w:r w:rsidRPr="00E70AB3">
        <w:rPr>
          <w:rFonts w:ascii="Symbol" w:eastAsia="Calibri" w:hAnsi="Symbol" w:cs="Calibri"/>
          <w:b/>
          <w:bCs/>
          <w:noProof/>
          <w:color w:val="auto"/>
          <w:spacing w:val="0"/>
          <w:kern w:val="2"/>
          <w:sz w:val="22"/>
          <w:szCs w:val="24"/>
          <w:lang w:eastAsia="en-GB"/>
          <w14:ligatures w14:val="standardContextual"/>
        </w:rPr>
        <w:t>½</w:t>
      </w:r>
      <w:r w:rsidRPr="00E70AB3">
        <w:rPr>
          <w:rFonts w:ascii="Century Gothic" w:eastAsia="Calibri" w:hAnsi="Century Gothic" w:cs="Calibri"/>
          <w:b/>
          <w:bCs/>
          <w:noProof/>
          <w:color w:val="auto"/>
          <w:spacing w:val="0"/>
          <w:kern w:val="2"/>
          <w:sz w:val="22"/>
          <w:szCs w:val="24"/>
          <w:lang w:eastAsia="en-GB"/>
          <w14:ligatures w14:val="standardContextual"/>
        </w:rPr>
        <w:t xml:space="preserve"> Founder</w:t>
      </w:r>
    </w:p>
    <w:p w14:paraId="5D898D19" w14:textId="77777777" w:rsidR="00E70AB3" w:rsidRPr="00E70AB3" w:rsidRDefault="00E70AB3" w:rsidP="00E70AB3">
      <w:pPr>
        <w:spacing w:after="160" w:line="259" w:lineRule="auto"/>
        <w:rPr>
          <w:rFonts w:ascii="Century Gothic" w:eastAsia="Calibri" w:hAnsi="Century Gothic" w:cs="Calibri"/>
          <w:noProof/>
          <w:color w:val="1F4E79" w:themeColor="accent5" w:themeShade="80"/>
          <w:spacing w:val="0"/>
          <w:kern w:val="2"/>
          <w:sz w:val="22"/>
          <w:szCs w:val="22"/>
          <w:u w:val="single"/>
          <w14:ligatures w14:val="standardContextual"/>
        </w:rPr>
      </w:pPr>
      <w:hyperlink r:id="rId15" w:history="1">
        <w:r w:rsidRPr="00E70AB3">
          <w:rPr>
            <w:rFonts w:ascii="Century Gothic" w:eastAsia="Calibri" w:hAnsi="Century Gothic" w:cs="Calibri"/>
            <w:noProof/>
            <w:color w:val="0563C1" w:themeColor="hyperlink"/>
            <w:spacing w:val="0"/>
            <w:kern w:val="2"/>
            <w:sz w:val="22"/>
            <w:szCs w:val="22"/>
            <w:u w:val="single"/>
            <w14:ligatures w14:val="standardContextual"/>
          </w:rPr>
          <w:t>ian@charityexcellence.co.uk</w:t>
        </w:r>
      </w:hyperlink>
    </w:p>
    <w:p w14:paraId="0CE6CBC7" w14:textId="00F6D57C" w:rsidR="00802E4A" w:rsidRPr="00322C33" w:rsidRDefault="00E70AB3" w:rsidP="00E70AB3">
      <w:pPr>
        <w:shd w:val="clear" w:color="auto" w:fill="FFFFFF"/>
        <w:spacing w:line="276" w:lineRule="auto"/>
        <w:outlineLvl w:val="0"/>
        <w:rPr>
          <w:rFonts w:ascii="Century Gothic" w:hAnsi="Century Gothic"/>
          <w:color w:val="1F4E79" w:themeColor="accent5" w:themeShade="80"/>
          <w:u w:val="single"/>
        </w:rPr>
      </w:pPr>
      <w:hyperlink r:id="rId16" w:history="1">
        <w:r w:rsidRPr="00E70AB3">
          <w:rPr>
            <w:rFonts w:ascii="Century Gothic" w:eastAsia="Calibri" w:hAnsi="Century Gothic" w:cs="Calibri"/>
            <w:noProof/>
            <w:color w:val="0563C1" w:themeColor="hyperlink"/>
            <w:spacing w:val="0"/>
            <w:kern w:val="2"/>
            <w:sz w:val="22"/>
            <w:szCs w:val="22"/>
            <w:u w:val="single"/>
            <w14:ligatures w14:val="standardContextual"/>
          </w:rPr>
          <w:t>www.charityexcellence.co.uk</w:t>
        </w:r>
      </w:hyperlink>
      <w:bookmarkEnd w:id="2"/>
    </w:p>
    <w:sectPr w:rsidR="00802E4A" w:rsidRPr="00322C33" w:rsidSect="008D57C6">
      <w:headerReference w:type="default" r:id="rId17"/>
      <w:footerReference w:type="default" r:id="rId18"/>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3211" w14:textId="77777777" w:rsidR="009B0CBB" w:rsidRDefault="009B0CBB" w:rsidP="007916A8">
      <w:r>
        <w:separator/>
      </w:r>
    </w:p>
  </w:endnote>
  <w:endnote w:type="continuationSeparator" w:id="0">
    <w:p w14:paraId="536AAC87" w14:textId="77777777" w:rsidR="009B0CBB" w:rsidRDefault="009B0CBB"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502821659"/>
  <w:p w14:paraId="1098153D" w14:textId="2667B7BD" w:rsidR="00185FCB" w:rsidRPr="007A588E" w:rsidRDefault="007A588E" w:rsidP="007A588E">
    <w:pPr>
      <w:spacing w:after="160" w:line="259" w:lineRule="auto"/>
      <w:jc w:val="center"/>
      <w:rPr>
        <w:rFonts w:asciiTheme="minorHAnsi" w:hAnsiTheme="minorHAnsi" w:cstheme="minorBidi"/>
        <w:noProof/>
        <w:color w:val="auto"/>
        <w:spacing w:val="0"/>
        <w:kern w:val="2"/>
        <w:sz w:val="22"/>
        <w:szCs w:val="22"/>
        <w14:ligatures w14:val="standardContextual"/>
      </w:rPr>
    </w:pPr>
    <w:r w:rsidRPr="007A588E">
      <w:rPr>
        <w:rFonts w:asciiTheme="majorHAnsi" w:hAnsiTheme="majorHAnsi" w:cstheme="minorBidi"/>
        <w:color w:val="auto"/>
        <w:spacing w:val="0"/>
        <w:kern w:val="2"/>
        <w:sz w:val="20"/>
        <w:szCs w:val="20"/>
        <w14:ligatures w14:val="standardContextual"/>
      </w:rPr>
      <w:fldChar w:fldCharType="begin"/>
    </w:r>
    <w:r w:rsidRPr="007A588E">
      <w:rPr>
        <w:rFonts w:asciiTheme="majorHAnsi" w:hAnsiTheme="majorHAnsi" w:cstheme="minorBidi"/>
        <w:color w:val="auto"/>
        <w:spacing w:val="0"/>
        <w:kern w:val="2"/>
        <w:sz w:val="20"/>
        <w:szCs w:val="20"/>
        <w14:ligatures w14:val="standardContextual"/>
      </w:rPr>
      <w:instrText>HYPERLINK "https://www.charityexcellence.co.uk/"</w:instrText>
    </w:r>
    <w:r w:rsidRPr="007A588E">
      <w:rPr>
        <w:rFonts w:asciiTheme="majorHAnsi" w:hAnsiTheme="majorHAnsi" w:cstheme="minorBidi"/>
        <w:color w:val="auto"/>
        <w:spacing w:val="0"/>
        <w:kern w:val="2"/>
        <w:sz w:val="20"/>
        <w:szCs w:val="20"/>
        <w14:ligatures w14:val="standardContextual"/>
      </w:rPr>
    </w:r>
    <w:r w:rsidRPr="007A588E">
      <w:rPr>
        <w:rFonts w:asciiTheme="majorHAnsi" w:hAnsiTheme="majorHAnsi" w:cstheme="minorBidi"/>
        <w:color w:val="auto"/>
        <w:spacing w:val="0"/>
        <w:kern w:val="2"/>
        <w:sz w:val="20"/>
        <w:szCs w:val="20"/>
        <w14:ligatures w14:val="standardContextual"/>
      </w:rPr>
      <w:fldChar w:fldCharType="separate"/>
    </w:r>
    <w:r w:rsidRPr="007A588E">
      <w:rPr>
        <w:rFonts w:asciiTheme="majorHAnsi" w:hAnsiTheme="majorHAnsi" w:cstheme="minorBidi"/>
        <w:color w:val="0563C1" w:themeColor="hyperlink"/>
        <w:spacing w:val="0"/>
        <w:kern w:val="2"/>
        <w:sz w:val="20"/>
        <w:szCs w:val="20"/>
        <w:u w:val="single"/>
        <w14:ligatures w14:val="standardContextual"/>
      </w:rPr>
      <w:t>Charity Excellence</w:t>
    </w:r>
    <w:r w:rsidRPr="007A588E">
      <w:rPr>
        <w:rFonts w:asciiTheme="majorHAnsi" w:hAnsiTheme="majorHAnsi" w:cstheme="minorBidi"/>
        <w:color w:val="0563C1" w:themeColor="hyperlink"/>
        <w:spacing w:val="0"/>
        <w:kern w:val="2"/>
        <w:sz w:val="20"/>
        <w:szCs w:val="20"/>
        <w:u w:val="single"/>
        <w14:ligatures w14:val="standardContextual"/>
      </w:rPr>
      <w:fldChar w:fldCharType="end"/>
    </w:r>
    <w:r w:rsidRPr="007A588E">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7A588E">
      <w:rPr>
        <w:rFonts w:asciiTheme="majorHAnsi" w:hAnsiTheme="majorHAnsi"/>
        <w:color w:val="auto"/>
        <w:spacing w:val="0"/>
        <w:kern w:val="0"/>
        <w:sz w:val="20"/>
        <w:szCs w:val="20"/>
        <w14:ligatures w14:val="standardContextual"/>
      </w:rPr>
      <w:t xml:space="preserve">Alumna </w:t>
    </w:r>
    <w:r w:rsidRPr="007A588E">
      <w:rPr>
        <w:rFonts w:asciiTheme="majorHAnsi" w:hAnsiTheme="majorHAnsi"/>
        <w:color w:val="0B0C0C"/>
        <w:spacing w:val="0"/>
        <w:kern w:val="0"/>
        <w:sz w:val="20"/>
        <w:szCs w:val="20"/>
        <w:shd w:val="clear" w:color="auto" w:fill="FFFFFF"/>
        <w14:ligatures w14:val="standardContextual"/>
      </w:rPr>
      <w:t>© 2023</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FA99" w14:textId="77777777" w:rsidR="009B0CBB" w:rsidRDefault="009B0CBB" w:rsidP="007916A8">
      <w:r>
        <w:separator/>
      </w:r>
    </w:p>
  </w:footnote>
  <w:footnote w:type="continuationSeparator" w:id="0">
    <w:p w14:paraId="2EF442DB" w14:textId="77777777" w:rsidR="009B0CBB" w:rsidRDefault="009B0CBB"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649"/>
    <w:multiLevelType w:val="multilevel"/>
    <w:tmpl w:val="2B3AC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287455"/>
    <w:multiLevelType w:val="multilevel"/>
    <w:tmpl w:val="82D0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033942"/>
    <w:multiLevelType w:val="multilevel"/>
    <w:tmpl w:val="C69A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5328932">
    <w:abstractNumId w:val="1"/>
  </w:num>
  <w:num w:numId="2" w16cid:durableId="2044015108">
    <w:abstractNumId w:val="0"/>
  </w:num>
  <w:num w:numId="3" w16cid:durableId="19322031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A54"/>
    <w:rsid w:val="000A0B56"/>
    <w:rsid w:val="000A1129"/>
    <w:rsid w:val="000A201F"/>
    <w:rsid w:val="000A4EC8"/>
    <w:rsid w:val="000B266A"/>
    <w:rsid w:val="000B3D4E"/>
    <w:rsid w:val="000B5420"/>
    <w:rsid w:val="000C114F"/>
    <w:rsid w:val="000C639C"/>
    <w:rsid w:val="000D328B"/>
    <w:rsid w:val="000D5258"/>
    <w:rsid w:val="000D5A72"/>
    <w:rsid w:val="000F06C9"/>
    <w:rsid w:val="000F11F8"/>
    <w:rsid w:val="000F1228"/>
    <w:rsid w:val="000F45A9"/>
    <w:rsid w:val="000F68B0"/>
    <w:rsid w:val="0010050E"/>
    <w:rsid w:val="00101FEC"/>
    <w:rsid w:val="00111042"/>
    <w:rsid w:val="001124CB"/>
    <w:rsid w:val="00113A16"/>
    <w:rsid w:val="00115AE4"/>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4B1A"/>
    <w:rsid w:val="001755EB"/>
    <w:rsid w:val="001832CF"/>
    <w:rsid w:val="001852B4"/>
    <w:rsid w:val="00185FCB"/>
    <w:rsid w:val="00190210"/>
    <w:rsid w:val="00196017"/>
    <w:rsid w:val="001A0FB9"/>
    <w:rsid w:val="001A2B29"/>
    <w:rsid w:val="001A569F"/>
    <w:rsid w:val="001B3BA6"/>
    <w:rsid w:val="001B4E80"/>
    <w:rsid w:val="001B4F72"/>
    <w:rsid w:val="001B6E69"/>
    <w:rsid w:val="001C09A8"/>
    <w:rsid w:val="001C0C04"/>
    <w:rsid w:val="001C3760"/>
    <w:rsid w:val="001C43DF"/>
    <w:rsid w:val="001C5F8D"/>
    <w:rsid w:val="001D0F9A"/>
    <w:rsid w:val="001D17EE"/>
    <w:rsid w:val="001D3B0B"/>
    <w:rsid w:val="001D53B2"/>
    <w:rsid w:val="001D62EA"/>
    <w:rsid w:val="001D666E"/>
    <w:rsid w:val="001D77B6"/>
    <w:rsid w:val="001E1CBF"/>
    <w:rsid w:val="001E2018"/>
    <w:rsid w:val="001E4CC8"/>
    <w:rsid w:val="001E4CD8"/>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526C"/>
    <w:rsid w:val="00257CA6"/>
    <w:rsid w:val="0026222F"/>
    <w:rsid w:val="002656A2"/>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2869"/>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01A7"/>
    <w:rsid w:val="00492AB6"/>
    <w:rsid w:val="00495380"/>
    <w:rsid w:val="004A0099"/>
    <w:rsid w:val="004A319C"/>
    <w:rsid w:val="004A4003"/>
    <w:rsid w:val="004A6C8E"/>
    <w:rsid w:val="004B2F16"/>
    <w:rsid w:val="004B371E"/>
    <w:rsid w:val="004B4E4E"/>
    <w:rsid w:val="004B6219"/>
    <w:rsid w:val="004B6BAD"/>
    <w:rsid w:val="004C0A58"/>
    <w:rsid w:val="004C5AFD"/>
    <w:rsid w:val="004D0CE6"/>
    <w:rsid w:val="004D0CFD"/>
    <w:rsid w:val="004D113C"/>
    <w:rsid w:val="004D18E6"/>
    <w:rsid w:val="004D4C7E"/>
    <w:rsid w:val="004D57B4"/>
    <w:rsid w:val="004D66FC"/>
    <w:rsid w:val="004D6A5E"/>
    <w:rsid w:val="004D7F15"/>
    <w:rsid w:val="004E0B7F"/>
    <w:rsid w:val="004E1C35"/>
    <w:rsid w:val="004E45C0"/>
    <w:rsid w:val="004F0402"/>
    <w:rsid w:val="004F3329"/>
    <w:rsid w:val="004F57E5"/>
    <w:rsid w:val="00500C70"/>
    <w:rsid w:val="005039D1"/>
    <w:rsid w:val="00505CF4"/>
    <w:rsid w:val="00510367"/>
    <w:rsid w:val="00510555"/>
    <w:rsid w:val="00511001"/>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FFF"/>
    <w:rsid w:val="00564B0A"/>
    <w:rsid w:val="00566D1C"/>
    <w:rsid w:val="00571CAD"/>
    <w:rsid w:val="00574B97"/>
    <w:rsid w:val="00574F2E"/>
    <w:rsid w:val="0058017C"/>
    <w:rsid w:val="00583248"/>
    <w:rsid w:val="00587D65"/>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7E27"/>
    <w:rsid w:val="005F2DC4"/>
    <w:rsid w:val="005F345B"/>
    <w:rsid w:val="005F411D"/>
    <w:rsid w:val="005F638D"/>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2F99"/>
    <w:rsid w:val="00674268"/>
    <w:rsid w:val="006838A4"/>
    <w:rsid w:val="00690877"/>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0AD3"/>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588E"/>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36"/>
    <w:rsid w:val="00832760"/>
    <w:rsid w:val="008343EA"/>
    <w:rsid w:val="00834C2F"/>
    <w:rsid w:val="00836C2A"/>
    <w:rsid w:val="00836CF4"/>
    <w:rsid w:val="00837632"/>
    <w:rsid w:val="00837A30"/>
    <w:rsid w:val="00840E80"/>
    <w:rsid w:val="008434A6"/>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77C5"/>
    <w:rsid w:val="0096070A"/>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4B9B"/>
    <w:rsid w:val="009A7C64"/>
    <w:rsid w:val="009B0CBB"/>
    <w:rsid w:val="009B158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2D8C"/>
    <w:rsid w:val="00A25523"/>
    <w:rsid w:val="00A26FD0"/>
    <w:rsid w:val="00A3487A"/>
    <w:rsid w:val="00A418D2"/>
    <w:rsid w:val="00A443B5"/>
    <w:rsid w:val="00A44F38"/>
    <w:rsid w:val="00A504C9"/>
    <w:rsid w:val="00A70C1D"/>
    <w:rsid w:val="00A75FD8"/>
    <w:rsid w:val="00A77F32"/>
    <w:rsid w:val="00A84FBC"/>
    <w:rsid w:val="00A92D13"/>
    <w:rsid w:val="00A955F7"/>
    <w:rsid w:val="00A973F5"/>
    <w:rsid w:val="00AA240C"/>
    <w:rsid w:val="00AA3A73"/>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E85"/>
    <w:rsid w:val="00B31B04"/>
    <w:rsid w:val="00B3203E"/>
    <w:rsid w:val="00B334D0"/>
    <w:rsid w:val="00B33FBB"/>
    <w:rsid w:val="00B35D85"/>
    <w:rsid w:val="00B3686B"/>
    <w:rsid w:val="00B464BB"/>
    <w:rsid w:val="00B46E06"/>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735F"/>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19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55BC"/>
    <w:rsid w:val="00CE63DC"/>
    <w:rsid w:val="00CF0058"/>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E24FD"/>
    <w:rsid w:val="00DE5A7A"/>
    <w:rsid w:val="00DF0427"/>
    <w:rsid w:val="00DF0D4C"/>
    <w:rsid w:val="00DF4BE2"/>
    <w:rsid w:val="00DF6A53"/>
    <w:rsid w:val="00DF6D9F"/>
    <w:rsid w:val="00E01C6D"/>
    <w:rsid w:val="00E07375"/>
    <w:rsid w:val="00E07E01"/>
    <w:rsid w:val="00E16009"/>
    <w:rsid w:val="00E17978"/>
    <w:rsid w:val="00E37918"/>
    <w:rsid w:val="00E41092"/>
    <w:rsid w:val="00E43D42"/>
    <w:rsid w:val="00E4502A"/>
    <w:rsid w:val="00E465E5"/>
    <w:rsid w:val="00E54540"/>
    <w:rsid w:val="00E56DFF"/>
    <w:rsid w:val="00E60467"/>
    <w:rsid w:val="00E60B81"/>
    <w:rsid w:val="00E62808"/>
    <w:rsid w:val="00E67FDE"/>
    <w:rsid w:val="00E70AB3"/>
    <w:rsid w:val="00E71C0C"/>
    <w:rsid w:val="00E721D2"/>
    <w:rsid w:val="00E82450"/>
    <w:rsid w:val="00E83817"/>
    <w:rsid w:val="00E842FA"/>
    <w:rsid w:val="00E846E3"/>
    <w:rsid w:val="00E86F1F"/>
    <w:rsid w:val="00E9235B"/>
    <w:rsid w:val="00E94F6A"/>
    <w:rsid w:val="00EA7E6D"/>
    <w:rsid w:val="00EB09AA"/>
    <w:rsid w:val="00EB3BA9"/>
    <w:rsid w:val="00EB43A3"/>
    <w:rsid w:val="00EB6FD7"/>
    <w:rsid w:val="00EC5C78"/>
    <w:rsid w:val="00ED26D2"/>
    <w:rsid w:val="00ED3C77"/>
    <w:rsid w:val="00ED46FA"/>
    <w:rsid w:val="00ED6505"/>
    <w:rsid w:val="00ED6526"/>
    <w:rsid w:val="00EE1F8A"/>
    <w:rsid w:val="00EE3585"/>
    <w:rsid w:val="00EE369E"/>
    <w:rsid w:val="00EE39A5"/>
    <w:rsid w:val="00EF0706"/>
    <w:rsid w:val="00EF58D2"/>
    <w:rsid w:val="00EF5E68"/>
    <w:rsid w:val="00EF7411"/>
    <w:rsid w:val="00F005DF"/>
    <w:rsid w:val="00F00A12"/>
    <w:rsid w:val="00F01C29"/>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number">
    <w:name w:val="number"/>
    <w:basedOn w:val="DefaultParagraphFont"/>
    <w:rsid w:val="004C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4073">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459762680">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30793780">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0951532">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 w:id="214704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arities-and-reserves-cc19/charities-and-reserves" TargetMode="External"/><Relationship Id="rId13" Type="http://schemas.openxmlformats.org/officeDocument/2006/relationships/hyperlink" Target="https://www.gov.uk/government/publications/charities-and-risk-management-cc2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managing-financial-difficulties-insolvency-in-charities-cc1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harityexcellence.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harities-and-reserves-cc19/charities-and-reserves" TargetMode="External"/><Relationship Id="rId5" Type="http://schemas.openxmlformats.org/officeDocument/2006/relationships/webSettings" Target="webSettings.xml"/><Relationship Id="rId15" Type="http://schemas.openxmlformats.org/officeDocument/2006/relationships/hyperlink" Target="mailto:ian@charityexcellence.co.uk" TargetMode="External"/><Relationship Id="rId10" Type="http://schemas.openxmlformats.org/officeDocument/2006/relationships/hyperlink" Target="https://www.gov.uk/government/publications/charity-reporting-and-accounting-the-essentials-november-2016-cc15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charities-and-reserves-cc19/charities-and-reserves" TargetMode="External"/><Relationship Id="rId14" Type="http://schemas.openxmlformats.org/officeDocument/2006/relationships/hyperlink" Target="https://www.gov.uk/government/publications/example-trustees-annual-reports-and-accounts-for-char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1140</Words>
  <Characters>6007</Characters>
  <Application>Microsoft Office Word</Application>
  <DocSecurity>0</DocSecurity>
  <Lines>132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9</cp:revision>
  <cp:lastPrinted>2023-03-02T08:46:00Z</cp:lastPrinted>
  <dcterms:created xsi:type="dcterms:W3CDTF">2023-04-06T17:25:00Z</dcterms:created>
  <dcterms:modified xsi:type="dcterms:W3CDTF">2026-03-03T18:37:00Z</dcterms:modified>
</cp:coreProperties>
</file>