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376F6" w14:textId="560DDBBE" w:rsidR="001832CF" w:rsidRDefault="008229E0" w:rsidP="39A5730C">
      <w:pPr>
        <w:pStyle w:val="Alumna"/>
        <w:rPr>
          <w:rFonts w:ascii="Arial" w:eastAsia="Arial" w:hAnsi="Arial" w:cs="Arial"/>
          <w:color w:val="4D5156"/>
          <w:sz w:val="21"/>
          <w:szCs w:val="21"/>
          <w:lang w:val="en-GB"/>
        </w:rPr>
      </w:pPr>
      <w:r>
        <w:rPr>
          <w:b/>
          <w:bCs/>
          <w:color w:val="1F4E79" w:themeColor="accent5" w:themeShade="80"/>
          <w:spacing w:val="0"/>
          <w:kern w:val="0"/>
        </w:rPr>
        <w:t>Risk Management Policy (Small Charity)</w:t>
      </w:r>
    </w:p>
    <w:p w14:paraId="028A9C9D" w14:textId="15AD9125" w:rsidR="002E2081" w:rsidRPr="00812816" w:rsidRDefault="002E2081" w:rsidP="00812816">
      <w:pPr>
        <w:spacing w:line="276" w:lineRule="auto"/>
        <w:rPr>
          <w:rFonts w:asciiTheme="majorHAnsi" w:eastAsiaTheme="majorEastAsia" w:hAnsiTheme="majorHAnsi" w:cstheme="majorBidi"/>
          <w:color w:val="auto"/>
          <w:szCs w:val="24"/>
        </w:rPr>
      </w:pPr>
      <w:bookmarkStart w:id="0" w:name="_Hlk39645958"/>
      <w:r w:rsidRPr="00812816">
        <w:rPr>
          <w:rFonts w:asciiTheme="majorHAnsi" w:eastAsiaTheme="majorEastAsia" w:hAnsiTheme="majorHAnsi" w:cstheme="majorBidi"/>
          <w:color w:val="auto"/>
          <w:szCs w:val="24"/>
        </w:rPr>
        <w:t>Note: this is a very simple risk management policy that you can amend to meet your needs.  There are a whole series of risk toolkits and example registers an</w:t>
      </w:r>
      <w:r w:rsidR="00812816" w:rsidRPr="00812816">
        <w:rPr>
          <w:rFonts w:asciiTheme="majorHAnsi" w:eastAsiaTheme="majorEastAsia" w:hAnsiTheme="majorHAnsi" w:cstheme="majorBidi"/>
          <w:color w:val="auto"/>
          <w:szCs w:val="24"/>
        </w:rPr>
        <w:t xml:space="preserve">d </w:t>
      </w:r>
      <w:r w:rsidRPr="00812816">
        <w:rPr>
          <w:rFonts w:asciiTheme="majorHAnsi" w:eastAsiaTheme="majorEastAsia" w:hAnsiTheme="majorHAnsi" w:cstheme="majorBidi"/>
          <w:color w:val="auto"/>
          <w:szCs w:val="24"/>
        </w:rPr>
        <w:t xml:space="preserve">templates as well as links to help and guidance within Charity Excellence.  Simply login and score the Risk Health Check. </w:t>
      </w:r>
    </w:p>
    <w:p w14:paraId="0FB8E6E4" w14:textId="77777777" w:rsidR="002E2081" w:rsidRPr="002E2081" w:rsidRDefault="002E2081" w:rsidP="002E2081">
      <w:pPr>
        <w:pStyle w:val="Heading1"/>
        <w:shd w:val="clear" w:color="auto" w:fill="FFFFFF"/>
        <w:spacing w:before="0" w:beforeAutospacing="0" w:after="0" w:afterAutospacing="0" w:line="276" w:lineRule="auto"/>
        <w:rPr>
          <w:rFonts w:asciiTheme="majorHAnsi" w:hAnsiTheme="majorHAnsi"/>
          <w:b w:val="0"/>
          <w:bCs w:val="0"/>
          <w:color w:val="1F4E79" w:themeColor="accent5" w:themeShade="80"/>
          <w:spacing w:val="-3"/>
          <w:kern w:val="28"/>
          <w:sz w:val="24"/>
          <w:szCs w:val="24"/>
          <w:lang w:eastAsia="en-US"/>
        </w:rPr>
      </w:pPr>
    </w:p>
    <w:p w14:paraId="4E32E51B" w14:textId="4692A32C" w:rsidR="008229E0" w:rsidRPr="003644D2"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3644D2">
        <w:rPr>
          <w:rFonts w:ascii="Century Gothic" w:hAnsi="Century Gothic"/>
          <w:color w:val="1F4E79" w:themeColor="accent5" w:themeShade="80"/>
          <w:spacing w:val="-3"/>
          <w:kern w:val="28"/>
          <w:sz w:val="32"/>
          <w:szCs w:val="32"/>
          <w:lang w:eastAsia="en-US"/>
        </w:rPr>
        <w:t>Introduction</w:t>
      </w:r>
    </w:p>
    <w:p w14:paraId="118C09EA"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72A291CB" w14:textId="0B7EA400" w:rsidR="008229E0" w:rsidRPr="008229E0" w:rsidRDefault="00812816" w:rsidP="002E2081">
      <w:pPr>
        <w:spacing w:line="276" w:lineRule="auto"/>
        <w:rPr>
          <w:rFonts w:asciiTheme="majorHAnsi" w:eastAsiaTheme="majorEastAsia" w:hAnsiTheme="majorHAnsi" w:cstheme="majorBidi"/>
          <w:b/>
          <w:bCs/>
          <w:color w:val="auto"/>
          <w:szCs w:val="24"/>
        </w:rPr>
      </w:pPr>
      <w:r>
        <w:rPr>
          <w:rFonts w:asciiTheme="majorHAnsi" w:eastAsiaTheme="majorEastAsia" w:hAnsiTheme="majorHAnsi" w:cstheme="majorBidi"/>
          <w:color w:val="auto"/>
          <w:szCs w:val="24"/>
        </w:rPr>
        <w:t xml:space="preserve">We </w:t>
      </w:r>
      <w:r w:rsidR="008229E0" w:rsidRPr="008229E0">
        <w:rPr>
          <w:rFonts w:asciiTheme="majorHAnsi" w:eastAsiaTheme="majorEastAsia" w:hAnsiTheme="majorHAnsi" w:cstheme="majorBidi"/>
          <w:color w:val="auto"/>
          <w:szCs w:val="24"/>
        </w:rPr>
        <w:t>recogni</w:t>
      </w:r>
      <w:r w:rsidR="002E2081">
        <w:rPr>
          <w:rFonts w:asciiTheme="majorHAnsi" w:eastAsiaTheme="majorEastAsia" w:hAnsiTheme="majorHAnsi" w:cstheme="majorBidi"/>
          <w:color w:val="auto"/>
          <w:szCs w:val="24"/>
        </w:rPr>
        <w:t>s</w:t>
      </w:r>
      <w:r w:rsidR="008229E0" w:rsidRPr="008229E0">
        <w:rPr>
          <w:rFonts w:asciiTheme="majorHAnsi" w:eastAsiaTheme="majorEastAsia" w:hAnsiTheme="majorHAnsi" w:cstheme="majorBidi"/>
          <w:color w:val="auto"/>
          <w:szCs w:val="24"/>
        </w:rPr>
        <w:t xml:space="preserve">e the importance of effective risk management to achieve its charitable objectives. This policy outlines our commitment to identifying, assessing, and managing risks to ensure </w:t>
      </w:r>
      <w:r>
        <w:rPr>
          <w:rFonts w:asciiTheme="majorHAnsi" w:eastAsiaTheme="majorEastAsia" w:hAnsiTheme="majorHAnsi" w:cstheme="majorBidi"/>
          <w:color w:val="auto"/>
          <w:szCs w:val="24"/>
        </w:rPr>
        <w:t xml:space="preserve">our </w:t>
      </w:r>
      <w:r w:rsidR="002E2081">
        <w:rPr>
          <w:rFonts w:asciiTheme="majorHAnsi" w:eastAsiaTheme="majorEastAsia" w:hAnsiTheme="majorHAnsi" w:cstheme="majorBidi"/>
          <w:color w:val="auto"/>
          <w:szCs w:val="24"/>
        </w:rPr>
        <w:t xml:space="preserve">charity’s </w:t>
      </w:r>
      <w:r w:rsidR="008229E0" w:rsidRPr="008229E0">
        <w:rPr>
          <w:rFonts w:asciiTheme="majorHAnsi" w:eastAsiaTheme="majorEastAsia" w:hAnsiTheme="majorHAnsi" w:cstheme="majorBidi"/>
          <w:color w:val="auto"/>
          <w:szCs w:val="24"/>
        </w:rPr>
        <w:t>resilience and continued success.</w:t>
      </w:r>
    </w:p>
    <w:p w14:paraId="61997C66" w14:textId="77777777" w:rsidR="008229E0" w:rsidRDefault="008229E0" w:rsidP="002E2081">
      <w:pPr>
        <w:spacing w:line="276" w:lineRule="auto"/>
        <w:rPr>
          <w:rFonts w:asciiTheme="majorHAnsi" w:eastAsiaTheme="majorEastAsia" w:hAnsiTheme="majorHAnsi" w:cstheme="majorBidi"/>
          <w:b/>
          <w:bCs/>
          <w:color w:val="auto"/>
          <w:szCs w:val="24"/>
        </w:rPr>
      </w:pPr>
    </w:p>
    <w:p w14:paraId="61C01A5F" w14:textId="38E26DC2" w:rsidR="008229E0" w:rsidRPr="003644D2"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3644D2">
        <w:rPr>
          <w:rFonts w:ascii="Century Gothic" w:hAnsi="Century Gothic"/>
          <w:color w:val="1F4E79" w:themeColor="accent5" w:themeShade="80"/>
          <w:spacing w:val="-3"/>
          <w:kern w:val="28"/>
          <w:sz w:val="32"/>
          <w:szCs w:val="32"/>
          <w:lang w:eastAsia="en-US"/>
        </w:rPr>
        <w:t>Purpose</w:t>
      </w:r>
    </w:p>
    <w:p w14:paraId="21C091A5"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73A02654" w14:textId="7E5876E6" w:rsidR="008229E0" w:rsidRPr="008229E0" w:rsidRDefault="008229E0" w:rsidP="002E2081">
      <w:pPr>
        <w:pStyle w:val="ListParagraph"/>
        <w:ind w:left="0"/>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 xml:space="preserve">The purpose of this policy is to establish a framework for identifying, assessing, prioritizing, and managing risks associated with </w:t>
      </w:r>
      <w:r w:rsidR="00812816">
        <w:rPr>
          <w:rFonts w:asciiTheme="majorHAnsi" w:eastAsiaTheme="majorEastAsia" w:hAnsiTheme="majorHAnsi" w:cstheme="majorBidi"/>
          <w:color w:val="auto"/>
          <w:szCs w:val="24"/>
        </w:rPr>
        <w:t xml:space="preserve">our </w:t>
      </w:r>
      <w:r w:rsidRPr="008229E0">
        <w:rPr>
          <w:rFonts w:asciiTheme="majorHAnsi" w:eastAsiaTheme="majorEastAsia" w:hAnsiTheme="majorHAnsi" w:cstheme="majorBidi"/>
          <w:color w:val="auto"/>
          <w:szCs w:val="24"/>
        </w:rPr>
        <w:t>activities. It aims to ensure a systematic and proactive approach to risk management, protecting the</w:t>
      </w:r>
      <w:r w:rsidR="00812816">
        <w:rPr>
          <w:rFonts w:asciiTheme="majorHAnsi" w:eastAsiaTheme="majorEastAsia" w:hAnsiTheme="majorHAnsi" w:cstheme="majorBidi"/>
          <w:color w:val="auto"/>
          <w:szCs w:val="24"/>
        </w:rPr>
        <w:t xml:space="preserve"> charity,</w:t>
      </w:r>
      <w:r w:rsidRPr="008229E0">
        <w:rPr>
          <w:rFonts w:asciiTheme="majorHAnsi" w:eastAsiaTheme="majorEastAsia" w:hAnsiTheme="majorHAnsi" w:cstheme="majorBidi"/>
          <w:color w:val="auto"/>
          <w:szCs w:val="24"/>
        </w:rPr>
        <w:t xml:space="preserve"> its beneficiaries, and stakeholders.</w:t>
      </w:r>
    </w:p>
    <w:p w14:paraId="1C9B0E94" w14:textId="2D13E22B" w:rsidR="008229E0" w:rsidRPr="003644D2"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3644D2">
        <w:rPr>
          <w:rFonts w:ascii="Century Gothic" w:hAnsi="Century Gothic"/>
          <w:color w:val="1F4E79" w:themeColor="accent5" w:themeShade="80"/>
          <w:spacing w:val="-3"/>
          <w:kern w:val="28"/>
          <w:sz w:val="32"/>
          <w:szCs w:val="32"/>
          <w:lang w:eastAsia="en-US"/>
        </w:rPr>
        <w:t>Scope</w:t>
      </w:r>
    </w:p>
    <w:p w14:paraId="038B07CE"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1684DC65" w14:textId="00081FDF" w:rsidR="008229E0" w:rsidRPr="002E2081" w:rsidRDefault="008229E0" w:rsidP="002E2081">
      <w:pPr>
        <w:pStyle w:val="ListParagraph"/>
        <w:ind w:left="0"/>
        <w:rPr>
          <w:rFonts w:asciiTheme="majorHAnsi" w:eastAsiaTheme="majorEastAsia" w:hAnsiTheme="majorHAnsi" w:cstheme="majorBidi"/>
          <w:color w:val="auto"/>
          <w:sz w:val="24"/>
          <w:szCs w:val="24"/>
        </w:rPr>
      </w:pPr>
      <w:r w:rsidRPr="002E2081">
        <w:rPr>
          <w:rFonts w:asciiTheme="majorHAnsi" w:eastAsiaTheme="majorEastAsia" w:hAnsiTheme="majorHAnsi" w:cstheme="majorBidi"/>
          <w:color w:val="auto"/>
          <w:sz w:val="24"/>
          <w:szCs w:val="24"/>
        </w:rPr>
        <w:t xml:space="preserve">This policy applies to all trustees, employees, volunteers, and stakeholders involved in </w:t>
      </w:r>
      <w:r w:rsidR="00812816">
        <w:rPr>
          <w:rFonts w:asciiTheme="majorHAnsi" w:eastAsiaTheme="majorEastAsia" w:hAnsiTheme="majorHAnsi" w:cstheme="majorBidi"/>
          <w:color w:val="auto"/>
          <w:sz w:val="24"/>
          <w:szCs w:val="24"/>
        </w:rPr>
        <w:t xml:space="preserve">our work. </w:t>
      </w:r>
      <w:r w:rsidRPr="002E2081">
        <w:rPr>
          <w:rFonts w:asciiTheme="majorHAnsi" w:eastAsiaTheme="majorEastAsia" w:hAnsiTheme="majorHAnsi" w:cstheme="majorBidi"/>
          <w:color w:val="auto"/>
          <w:sz w:val="24"/>
          <w:szCs w:val="24"/>
        </w:rPr>
        <w:t xml:space="preserve"> It covers all aspects of the charity's operations, including but not limited to program</w:t>
      </w:r>
      <w:r w:rsidR="002E2081" w:rsidRPr="002E2081">
        <w:rPr>
          <w:rFonts w:asciiTheme="majorHAnsi" w:eastAsiaTheme="majorEastAsia" w:hAnsiTheme="majorHAnsi" w:cstheme="majorBidi"/>
          <w:color w:val="auto"/>
          <w:sz w:val="24"/>
          <w:szCs w:val="24"/>
        </w:rPr>
        <w:t>me</w:t>
      </w:r>
      <w:r w:rsidRPr="002E2081">
        <w:rPr>
          <w:rFonts w:asciiTheme="majorHAnsi" w:eastAsiaTheme="majorEastAsia" w:hAnsiTheme="majorHAnsi" w:cstheme="majorBidi"/>
          <w:color w:val="auto"/>
          <w:sz w:val="24"/>
          <w:szCs w:val="24"/>
        </w:rPr>
        <w:t>s, finances, reputation</w:t>
      </w:r>
      <w:r w:rsidR="002E2081" w:rsidRPr="002E2081">
        <w:rPr>
          <w:rFonts w:asciiTheme="majorHAnsi" w:eastAsiaTheme="majorEastAsia" w:hAnsiTheme="majorHAnsi" w:cstheme="majorBidi"/>
          <w:color w:val="auto"/>
          <w:sz w:val="24"/>
          <w:szCs w:val="24"/>
        </w:rPr>
        <w:t>al risk</w:t>
      </w:r>
      <w:r w:rsidRPr="002E2081">
        <w:rPr>
          <w:rFonts w:asciiTheme="majorHAnsi" w:eastAsiaTheme="majorEastAsia" w:hAnsiTheme="majorHAnsi" w:cstheme="majorBidi"/>
          <w:color w:val="auto"/>
          <w:sz w:val="24"/>
          <w:szCs w:val="24"/>
        </w:rPr>
        <w:t>, and governance.</w:t>
      </w:r>
      <w:r w:rsidR="00812816">
        <w:rPr>
          <w:rFonts w:asciiTheme="majorHAnsi" w:eastAsiaTheme="majorEastAsia" w:hAnsiTheme="majorHAnsi" w:cstheme="majorBidi"/>
          <w:color w:val="auto"/>
          <w:sz w:val="24"/>
          <w:szCs w:val="24"/>
        </w:rPr>
        <w:t xml:space="preserve">  Where necessary, we will create additional relevant policies, such as systems of internal control, due diligence and health &amp; safety policies. </w:t>
      </w:r>
    </w:p>
    <w:p w14:paraId="5972D081" w14:textId="77777777" w:rsidR="008229E0" w:rsidRPr="003644D2"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3644D2">
        <w:rPr>
          <w:rFonts w:ascii="Century Gothic" w:hAnsi="Century Gothic"/>
          <w:color w:val="1F4E79" w:themeColor="accent5" w:themeShade="80"/>
          <w:spacing w:val="-3"/>
          <w:kern w:val="28"/>
          <w:sz w:val="32"/>
          <w:szCs w:val="32"/>
          <w:lang w:eastAsia="en-US"/>
        </w:rPr>
        <w:t>Charity Commission Guidance</w:t>
      </w:r>
    </w:p>
    <w:p w14:paraId="6CB501CD" w14:textId="1EBB7C50" w:rsidR="008229E0" w:rsidRDefault="008229E0" w:rsidP="002E2081">
      <w:pPr>
        <w:pStyle w:val="NormalWeb"/>
        <w:spacing w:line="276" w:lineRule="auto"/>
        <w:rPr>
          <w:rFonts w:asciiTheme="majorHAnsi" w:hAnsiTheme="majorHAnsi"/>
          <w:lang w:val="en"/>
        </w:rPr>
      </w:pPr>
      <w:r w:rsidRPr="00102D42">
        <w:rPr>
          <w:rFonts w:asciiTheme="majorHAnsi" w:hAnsiTheme="majorHAnsi"/>
          <w:lang w:val="en"/>
        </w:rPr>
        <w:t xml:space="preserve">The Charity Commission strongly recommends that charities have a clear risk management policy and process to identify and manage all types of </w:t>
      </w:r>
      <w:r w:rsidR="002E2081" w:rsidRPr="00102D42">
        <w:rPr>
          <w:rFonts w:asciiTheme="majorHAnsi" w:hAnsiTheme="majorHAnsi"/>
          <w:lang w:val="en"/>
        </w:rPr>
        <w:t>risks and</w:t>
      </w:r>
      <w:r w:rsidRPr="00102D42">
        <w:rPr>
          <w:rFonts w:asciiTheme="majorHAnsi" w:hAnsiTheme="majorHAnsi"/>
          <w:lang w:val="en"/>
        </w:rPr>
        <w:t xml:space="preserve"> embed risk management into the charity’s work.</w:t>
      </w:r>
      <w:r>
        <w:rPr>
          <w:rFonts w:asciiTheme="majorHAnsi" w:hAnsiTheme="majorHAnsi"/>
          <w:lang w:val="en"/>
        </w:rPr>
        <w:t xml:space="preserve">  </w:t>
      </w:r>
      <w:hyperlink r:id="rId8" w:history="1">
        <w:r w:rsidRPr="0043220D">
          <w:rPr>
            <w:rStyle w:val="Hyperlink"/>
            <w:rFonts w:asciiTheme="majorHAnsi" w:hAnsiTheme="majorHAnsi"/>
            <w:lang w:val="en"/>
          </w:rPr>
          <w:t>CC26</w:t>
        </w:r>
      </w:hyperlink>
      <w:r>
        <w:rPr>
          <w:rFonts w:asciiTheme="majorHAnsi" w:hAnsiTheme="majorHAnsi"/>
          <w:lang w:val="en"/>
        </w:rPr>
        <w:t xml:space="preserve"> provides guidance.</w:t>
      </w:r>
    </w:p>
    <w:p w14:paraId="48CA7156" w14:textId="77777777" w:rsidR="002E2081" w:rsidRPr="002E2081" w:rsidRDefault="002E2081" w:rsidP="002E2081">
      <w:pPr>
        <w:spacing w:line="276" w:lineRule="auto"/>
        <w:rPr>
          <w:rFonts w:ascii="Century Gothic" w:hAnsi="Century Gothic"/>
          <w:b/>
          <w:bCs/>
          <w:color w:val="1F4E79" w:themeColor="accent5" w:themeShade="80"/>
          <w:spacing w:val="-3"/>
          <w:sz w:val="32"/>
          <w:szCs w:val="32"/>
        </w:rPr>
      </w:pPr>
      <w:r w:rsidRPr="002E2081">
        <w:rPr>
          <w:rFonts w:ascii="Century Gothic" w:hAnsi="Century Gothic"/>
          <w:b/>
          <w:bCs/>
          <w:color w:val="1F4E79" w:themeColor="accent5" w:themeShade="80"/>
          <w:spacing w:val="-3"/>
          <w:sz w:val="32"/>
          <w:szCs w:val="32"/>
        </w:rPr>
        <w:t>Risk Management Cycle</w:t>
      </w:r>
    </w:p>
    <w:p w14:paraId="196ACFA1" w14:textId="77777777" w:rsidR="002E2081" w:rsidRPr="00102D42" w:rsidRDefault="002E2081" w:rsidP="002E2081">
      <w:pPr>
        <w:spacing w:line="276" w:lineRule="auto"/>
        <w:rPr>
          <w:rFonts w:asciiTheme="majorHAnsi" w:hAnsiTheme="majorHAnsi"/>
          <w:b/>
        </w:rPr>
      </w:pPr>
    </w:p>
    <w:p w14:paraId="31AC0FBB" w14:textId="77777777" w:rsidR="002E2081" w:rsidRPr="00102D42" w:rsidRDefault="002E2081" w:rsidP="002E2081">
      <w:pPr>
        <w:spacing w:line="276" w:lineRule="auto"/>
        <w:rPr>
          <w:rFonts w:asciiTheme="majorHAnsi" w:hAnsiTheme="majorHAnsi"/>
        </w:rPr>
      </w:pPr>
      <w:r w:rsidRPr="00102D42">
        <w:rPr>
          <w:rFonts w:asciiTheme="majorHAnsi" w:hAnsiTheme="majorHAnsi"/>
        </w:rPr>
        <w:t>Risk is usually managed by means of a cycle of identification, quantification, management and review.</w:t>
      </w:r>
    </w:p>
    <w:p w14:paraId="30E45446" w14:textId="77777777" w:rsidR="002E2081" w:rsidRPr="00102D42" w:rsidRDefault="002E2081" w:rsidP="002E2081">
      <w:pPr>
        <w:spacing w:line="276" w:lineRule="auto"/>
        <w:rPr>
          <w:rFonts w:asciiTheme="majorHAnsi" w:hAnsiTheme="majorHAnsi"/>
        </w:rPr>
      </w:pPr>
    </w:p>
    <w:p w14:paraId="4281C504" w14:textId="77777777" w:rsidR="002E2081" w:rsidRPr="00102D42" w:rsidRDefault="002E2081" w:rsidP="002E2081">
      <w:pPr>
        <w:numPr>
          <w:ilvl w:val="0"/>
          <w:numId w:val="61"/>
        </w:numPr>
        <w:tabs>
          <w:tab w:val="clear" w:pos="720"/>
          <w:tab w:val="num" w:pos="360"/>
        </w:tabs>
        <w:spacing w:line="276" w:lineRule="auto"/>
        <w:ind w:left="360"/>
        <w:outlineLvl w:val="0"/>
        <w:rPr>
          <w:rFonts w:asciiTheme="majorHAnsi" w:hAnsiTheme="majorHAnsi"/>
        </w:rPr>
      </w:pPr>
      <w:r w:rsidRPr="004770DA">
        <w:rPr>
          <w:rFonts w:asciiTheme="majorHAnsi" w:hAnsiTheme="majorHAnsi"/>
          <w:b/>
          <w:color w:val="2E74B5" w:themeColor="accent5" w:themeShade="BF"/>
        </w:rPr>
        <w:t>Identification.</w:t>
      </w:r>
      <w:r w:rsidRPr="004770DA">
        <w:rPr>
          <w:rFonts w:asciiTheme="majorHAnsi" w:hAnsiTheme="majorHAnsi"/>
          <w:color w:val="2E74B5" w:themeColor="accent5" w:themeShade="BF"/>
        </w:rPr>
        <w:t xml:space="preserve">  </w:t>
      </w:r>
      <w:r w:rsidRPr="00102D42">
        <w:rPr>
          <w:rFonts w:asciiTheme="majorHAnsi" w:hAnsiTheme="majorHAnsi"/>
        </w:rPr>
        <w:t xml:space="preserve">Identify the various risks that may materialise.  </w:t>
      </w:r>
    </w:p>
    <w:p w14:paraId="076FFE27" w14:textId="77777777" w:rsidR="002E2081" w:rsidRPr="00102D42" w:rsidRDefault="002E2081" w:rsidP="002E2081">
      <w:pPr>
        <w:numPr>
          <w:ilvl w:val="0"/>
          <w:numId w:val="61"/>
        </w:numPr>
        <w:tabs>
          <w:tab w:val="clear" w:pos="720"/>
          <w:tab w:val="num" w:pos="360"/>
        </w:tabs>
        <w:spacing w:line="276" w:lineRule="auto"/>
        <w:ind w:left="360"/>
        <w:outlineLvl w:val="0"/>
        <w:rPr>
          <w:rFonts w:asciiTheme="majorHAnsi" w:hAnsiTheme="majorHAnsi"/>
        </w:rPr>
      </w:pPr>
      <w:r w:rsidRPr="004770DA">
        <w:rPr>
          <w:rFonts w:asciiTheme="majorHAnsi" w:hAnsiTheme="majorHAnsi"/>
          <w:b/>
          <w:color w:val="2E74B5" w:themeColor="accent5" w:themeShade="BF"/>
        </w:rPr>
        <w:t>Quantifying.</w:t>
      </w:r>
      <w:r w:rsidRPr="004770DA">
        <w:rPr>
          <w:rFonts w:asciiTheme="majorHAnsi" w:hAnsiTheme="majorHAnsi"/>
          <w:color w:val="2E74B5" w:themeColor="accent5" w:themeShade="BF"/>
        </w:rPr>
        <w:t xml:space="preserve"> </w:t>
      </w:r>
      <w:r w:rsidRPr="00102D42">
        <w:rPr>
          <w:rFonts w:asciiTheme="majorHAnsi" w:hAnsiTheme="majorHAnsi"/>
        </w:rPr>
        <w:t>Assess and quantify these risks.</w:t>
      </w:r>
    </w:p>
    <w:p w14:paraId="6E75CD85" w14:textId="77777777" w:rsidR="002E2081" w:rsidRPr="00102D42" w:rsidRDefault="002E2081" w:rsidP="002E2081">
      <w:pPr>
        <w:numPr>
          <w:ilvl w:val="0"/>
          <w:numId w:val="61"/>
        </w:numPr>
        <w:tabs>
          <w:tab w:val="clear" w:pos="720"/>
          <w:tab w:val="num" w:pos="360"/>
        </w:tabs>
        <w:spacing w:line="276" w:lineRule="auto"/>
        <w:ind w:left="360"/>
        <w:outlineLvl w:val="0"/>
        <w:rPr>
          <w:rFonts w:asciiTheme="majorHAnsi" w:hAnsiTheme="majorHAnsi"/>
        </w:rPr>
      </w:pPr>
      <w:r w:rsidRPr="004770DA">
        <w:rPr>
          <w:rFonts w:asciiTheme="majorHAnsi" w:hAnsiTheme="majorHAnsi"/>
          <w:b/>
          <w:color w:val="2E74B5" w:themeColor="accent5" w:themeShade="BF"/>
        </w:rPr>
        <w:t>Managing.</w:t>
      </w:r>
      <w:r w:rsidRPr="004770DA">
        <w:rPr>
          <w:rFonts w:asciiTheme="majorHAnsi" w:hAnsiTheme="majorHAnsi"/>
          <w:color w:val="2E74B5" w:themeColor="accent5" w:themeShade="BF"/>
        </w:rPr>
        <w:t xml:space="preserve">  </w:t>
      </w:r>
      <w:r w:rsidRPr="00102D42">
        <w:rPr>
          <w:rFonts w:asciiTheme="majorHAnsi" w:hAnsiTheme="majorHAnsi"/>
        </w:rPr>
        <w:t>Take appropriate action to manage these risks.  This is usually the weakest area in a risk management framework.  Risks can be managed as follows:</w:t>
      </w:r>
    </w:p>
    <w:p w14:paraId="385A5FBA" w14:textId="77777777" w:rsidR="002E2081" w:rsidRPr="00102D42" w:rsidRDefault="002E2081" w:rsidP="002E2081">
      <w:pPr>
        <w:numPr>
          <w:ilvl w:val="1"/>
          <w:numId w:val="61"/>
        </w:numPr>
        <w:tabs>
          <w:tab w:val="clear" w:pos="1440"/>
          <w:tab w:val="num" w:pos="1080"/>
        </w:tabs>
        <w:spacing w:line="276" w:lineRule="auto"/>
        <w:ind w:left="1080"/>
        <w:outlineLvl w:val="0"/>
        <w:rPr>
          <w:rFonts w:asciiTheme="majorHAnsi" w:hAnsiTheme="majorHAnsi"/>
        </w:rPr>
      </w:pPr>
      <w:r w:rsidRPr="004770DA">
        <w:rPr>
          <w:rFonts w:asciiTheme="majorHAnsi" w:hAnsiTheme="majorHAnsi"/>
          <w:b/>
          <w:color w:val="2E74B5" w:themeColor="accent5" w:themeShade="BF"/>
        </w:rPr>
        <w:lastRenderedPageBreak/>
        <w:t>Avoidance.</w:t>
      </w:r>
      <w:r w:rsidRPr="004770DA">
        <w:rPr>
          <w:rFonts w:asciiTheme="majorHAnsi" w:hAnsiTheme="majorHAnsi"/>
          <w:color w:val="2E74B5" w:themeColor="accent5" w:themeShade="BF"/>
        </w:rPr>
        <w:t xml:space="preserve">  </w:t>
      </w:r>
      <w:r w:rsidRPr="00102D42">
        <w:rPr>
          <w:rFonts w:asciiTheme="majorHAnsi" w:hAnsiTheme="majorHAnsi"/>
        </w:rPr>
        <w:t>Action that can be taken to avoid a risk occurring.</w:t>
      </w:r>
    </w:p>
    <w:p w14:paraId="7E173882" w14:textId="77777777" w:rsidR="002E2081" w:rsidRPr="00102D42" w:rsidRDefault="002E2081" w:rsidP="002E2081">
      <w:pPr>
        <w:numPr>
          <w:ilvl w:val="1"/>
          <w:numId w:val="61"/>
        </w:numPr>
        <w:tabs>
          <w:tab w:val="clear" w:pos="1440"/>
          <w:tab w:val="num" w:pos="1080"/>
        </w:tabs>
        <w:spacing w:line="276" w:lineRule="auto"/>
        <w:ind w:left="1080"/>
        <w:outlineLvl w:val="0"/>
        <w:rPr>
          <w:rFonts w:asciiTheme="majorHAnsi" w:hAnsiTheme="majorHAnsi"/>
        </w:rPr>
      </w:pPr>
      <w:r w:rsidRPr="004770DA">
        <w:rPr>
          <w:rFonts w:asciiTheme="majorHAnsi" w:hAnsiTheme="majorHAnsi"/>
          <w:b/>
          <w:color w:val="2E74B5" w:themeColor="accent5" w:themeShade="BF"/>
        </w:rPr>
        <w:t>Mitigation.</w:t>
      </w:r>
      <w:r w:rsidRPr="004770DA">
        <w:rPr>
          <w:rFonts w:asciiTheme="majorHAnsi" w:hAnsiTheme="majorHAnsi"/>
          <w:color w:val="2E74B5" w:themeColor="accent5" w:themeShade="BF"/>
        </w:rPr>
        <w:t xml:space="preserve"> </w:t>
      </w:r>
      <w:r w:rsidRPr="00102D42">
        <w:rPr>
          <w:rFonts w:asciiTheme="majorHAnsi" w:hAnsiTheme="majorHAnsi"/>
        </w:rPr>
        <w:t>Action that can be taken to reduce the impact a risk may have, if it occurs.</w:t>
      </w:r>
    </w:p>
    <w:p w14:paraId="5BDFE08A" w14:textId="77777777" w:rsidR="002E2081" w:rsidRPr="00102D42" w:rsidRDefault="002E2081" w:rsidP="002E2081">
      <w:pPr>
        <w:numPr>
          <w:ilvl w:val="1"/>
          <w:numId w:val="61"/>
        </w:numPr>
        <w:tabs>
          <w:tab w:val="clear" w:pos="1440"/>
          <w:tab w:val="num" w:pos="1080"/>
        </w:tabs>
        <w:spacing w:line="276" w:lineRule="auto"/>
        <w:ind w:left="1080"/>
        <w:outlineLvl w:val="0"/>
        <w:rPr>
          <w:rFonts w:asciiTheme="majorHAnsi" w:hAnsiTheme="majorHAnsi"/>
        </w:rPr>
      </w:pPr>
      <w:r w:rsidRPr="004770DA">
        <w:rPr>
          <w:rFonts w:asciiTheme="majorHAnsi" w:hAnsiTheme="majorHAnsi"/>
          <w:b/>
          <w:color w:val="2E74B5" w:themeColor="accent5" w:themeShade="BF"/>
        </w:rPr>
        <w:t>Buying Out</w:t>
      </w:r>
      <w:r w:rsidRPr="004770DA">
        <w:rPr>
          <w:rFonts w:asciiTheme="majorHAnsi" w:hAnsiTheme="majorHAnsi"/>
          <w:color w:val="2E74B5" w:themeColor="accent5" w:themeShade="BF"/>
        </w:rPr>
        <w:t xml:space="preserve">.  </w:t>
      </w:r>
      <w:r w:rsidRPr="00102D42">
        <w:rPr>
          <w:rFonts w:asciiTheme="majorHAnsi" w:hAnsiTheme="majorHAnsi"/>
        </w:rPr>
        <w:t>Generally, this is done using insurance.</w:t>
      </w:r>
    </w:p>
    <w:p w14:paraId="36B5FE27" w14:textId="4E5D3F4C" w:rsidR="002E2081" w:rsidRPr="00102D42" w:rsidRDefault="002E2081" w:rsidP="002E2081">
      <w:pPr>
        <w:numPr>
          <w:ilvl w:val="1"/>
          <w:numId w:val="61"/>
        </w:numPr>
        <w:tabs>
          <w:tab w:val="clear" w:pos="1440"/>
          <w:tab w:val="num" w:pos="1080"/>
        </w:tabs>
        <w:spacing w:line="276" w:lineRule="auto"/>
        <w:ind w:left="1080"/>
        <w:outlineLvl w:val="0"/>
        <w:rPr>
          <w:rFonts w:asciiTheme="majorHAnsi" w:hAnsiTheme="majorHAnsi"/>
        </w:rPr>
      </w:pPr>
      <w:r w:rsidRPr="004770DA">
        <w:rPr>
          <w:rFonts w:asciiTheme="majorHAnsi" w:hAnsiTheme="majorHAnsi"/>
          <w:b/>
          <w:color w:val="2E74B5" w:themeColor="accent5" w:themeShade="BF"/>
        </w:rPr>
        <w:t>Accepting.</w:t>
      </w:r>
      <w:r w:rsidRPr="004770DA">
        <w:rPr>
          <w:rFonts w:asciiTheme="majorHAnsi" w:hAnsiTheme="majorHAnsi"/>
          <w:color w:val="2E74B5" w:themeColor="accent5" w:themeShade="BF"/>
        </w:rPr>
        <w:t xml:space="preserve">  </w:t>
      </w:r>
      <w:r w:rsidRPr="00102D42">
        <w:rPr>
          <w:rFonts w:asciiTheme="majorHAnsi" w:hAnsiTheme="majorHAnsi"/>
        </w:rPr>
        <w:t xml:space="preserve">Risk cannot be eliminated entirely, and any steps taken to manage risk must be reasonable, as resources are not unlimited in terms of money and time.  Equally, adopting a purely risk averse approach limits opportunity. </w:t>
      </w:r>
    </w:p>
    <w:p w14:paraId="7EE3E6D8" w14:textId="77777777" w:rsidR="002E2081" w:rsidRPr="00102D42" w:rsidRDefault="002E2081" w:rsidP="002E2081">
      <w:pPr>
        <w:numPr>
          <w:ilvl w:val="0"/>
          <w:numId w:val="61"/>
        </w:numPr>
        <w:tabs>
          <w:tab w:val="num" w:pos="1080"/>
        </w:tabs>
        <w:spacing w:line="276" w:lineRule="auto"/>
        <w:outlineLvl w:val="0"/>
        <w:rPr>
          <w:rFonts w:asciiTheme="majorHAnsi" w:hAnsiTheme="majorHAnsi"/>
        </w:rPr>
      </w:pPr>
      <w:r w:rsidRPr="004770DA">
        <w:rPr>
          <w:rFonts w:asciiTheme="majorHAnsi" w:hAnsiTheme="majorHAnsi"/>
          <w:b/>
          <w:color w:val="2E74B5" w:themeColor="accent5" w:themeShade="BF"/>
        </w:rPr>
        <w:t>Reviewing.</w:t>
      </w:r>
      <w:r w:rsidRPr="004770DA">
        <w:rPr>
          <w:rFonts w:asciiTheme="majorHAnsi" w:hAnsiTheme="majorHAnsi"/>
          <w:color w:val="2E74B5" w:themeColor="accent5" w:themeShade="BF"/>
        </w:rPr>
        <w:t xml:space="preserve">  </w:t>
      </w:r>
      <w:r w:rsidRPr="00102D42">
        <w:rPr>
          <w:rFonts w:asciiTheme="majorHAnsi" w:hAnsiTheme="majorHAnsi"/>
        </w:rPr>
        <w:t>Risks should be reviewed as regularly as is necessary, depending on their likely probability and impact in the light of changing circumstances.  This may be done on an ongoing basis, at appropriate points in projects or at regular meetings.</w:t>
      </w:r>
    </w:p>
    <w:p w14:paraId="6D0CB0C6" w14:textId="77777777" w:rsidR="002E2081" w:rsidRPr="002E2081" w:rsidRDefault="002E2081"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7712FB4C" w14:textId="69BC04B0" w:rsidR="008229E0" w:rsidRPr="003644D2"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3644D2">
        <w:rPr>
          <w:rFonts w:ascii="Century Gothic" w:hAnsi="Century Gothic"/>
          <w:color w:val="1F4E79" w:themeColor="accent5" w:themeShade="80"/>
          <w:spacing w:val="-3"/>
          <w:kern w:val="28"/>
          <w:sz w:val="32"/>
          <w:szCs w:val="32"/>
          <w:lang w:eastAsia="en-US"/>
        </w:rPr>
        <w:t>Responsibilities</w:t>
      </w:r>
    </w:p>
    <w:p w14:paraId="2E3F8D1E" w14:textId="77777777" w:rsidR="008229E0" w:rsidRPr="00102D42" w:rsidRDefault="008229E0" w:rsidP="002E2081">
      <w:pPr>
        <w:spacing w:line="276" w:lineRule="auto"/>
        <w:jc w:val="both"/>
        <w:rPr>
          <w:rFonts w:asciiTheme="majorHAnsi" w:hAnsiTheme="majorHAnsi"/>
          <w:b/>
        </w:rPr>
      </w:pPr>
    </w:p>
    <w:p w14:paraId="57159123" w14:textId="6EDB691B" w:rsidR="008229E0" w:rsidRPr="00102D42" w:rsidRDefault="008229E0" w:rsidP="002E2081">
      <w:pPr>
        <w:spacing w:line="276" w:lineRule="auto"/>
        <w:jc w:val="both"/>
        <w:rPr>
          <w:rFonts w:asciiTheme="majorHAnsi" w:hAnsiTheme="majorHAnsi"/>
        </w:rPr>
      </w:pPr>
      <w:r w:rsidRPr="00102D42">
        <w:rPr>
          <w:rFonts w:asciiTheme="majorHAnsi" w:hAnsiTheme="majorHAnsi"/>
        </w:rPr>
        <w:t xml:space="preserve">The Board has overall responsibility for ensuring that there is an appropriate system of controls, financial and otherwise in place and working effectively.  The systems of financial control are designed to provide reasonable, but not absolute, assurance against material </w:t>
      </w:r>
      <w:r w:rsidR="002E2081" w:rsidRPr="00102D42">
        <w:rPr>
          <w:rFonts w:asciiTheme="majorHAnsi" w:hAnsiTheme="majorHAnsi"/>
        </w:rPr>
        <w:t>misstatement</w:t>
      </w:r>
      <w:r w:rsidRPr="00102D42">
        <w:rPr>
          <w:rFonts w:asciiTheme="majorHAnsi" w:hAnsiTheme="majorHAnsi"/>
        </w:rPr>
        <w:t xml:space="preserve"> or loss.   These include:</w:t>
      </w:r>
    </w:p>
    <w:p w14:paraId="716DD25D" w14:textId="77777777" w:rsidR="008229E0" w:rsidRPr="00102D42" w:rsidRDefault="008229E0" w:rsidP="002E2081">
      <w:pPr>
        <w:spacing w:line="276" w:lineRule="auto"/>
        <w:jc w:val="both"/>
        <w:rPr>
          <w:rFonts w:asciiTheme="majorHAnsi" w:hAnsiTheme="majorHAnsi"/>
        </w:rPr>
      </w:pPr>
    </w:p>
    <w:p w14:paraId="1D2C3425" w14:textId="4EE13817" w:rsidR="008229E0" w:rsidRPr="00102D42" w:rsidRDefault="008229E0" w:rsidP="002E2081">
      <w:pPr>
        <w:numPr>
          <w:ilvl w:val="0"/>
          <w:numId w:val="60"/>
        </w:numPr>
        <w:tabs>
          <w:tab w:val="clear" w:pos="360"/>
          <w:tab w:val="num" w:pos="284"/>
        </w:tabs>
        <w:spacing w:line="276" w:lineRule="auto"/>
        <w:ind w:left="284" w:hanging="284"/>
        <w:jc w:val="both"/>
        <w:rPr>
          <w:rFonts w:asciiTheme="majorHAnsi" w:hAnsiTheme="majorHAnsi"/>
        </w:rPr>
      </w:pPr>
      <w:r w:rsidRPr="00102D42">
        <w:rPr>
          <w:rFonts w:asciiTheme="majorHAnsi" w:hAnsiTheme="majorHAnsi"/>
        </w:rPr>
        <w:t xml:space="preserve">a strategic plan and an annual business plan and budget approved by the </w:t>
      </w:r>
      <w:r w:rsidR="002E2081" w:rsidRPr="00102D42">
        <w:rPr>
          <w:rFonts w:asciiTheme="majorHAnsi" w:hAnsiTheme="majorHAnsi"/>
        </w:rPr>
        <w:t>Board.</w:t>
      </w:r>
    </w:p>
    <w:p w14:paraId="43D93ABF" w14:textId="569A992C" w:rsidR="008229E0" w:rsidRPr="00102D42" w:rsidRDefault="008229E0" w:rsidP="002E2081">
      <w:pPr>
        <w:numPr>
          <w:ilvl w:val="0"/>
          <w:numId w:val="60"/>
        </w:numPr>
        <w:tabs>
          <w:tab w:val="clear" w:pos="360"/>
          <w:tab w:val="num" w:pos="284"/>
        </w:tabs>
        <w:spacing w:line="276" w:lineRule="auto"/>
        <w:ind w:left="284" w:hanging="284"/>
        <w:jc w:val="both"/>
        <w:rPr>
          <w:rFonts w:asciiTheme="majorHAnsi" w:hAnsiTheme="majorHAnsi"/>
        </w:rPr>
      </w:pPr>
      <w:r w:rsidRPr="00102D42">
        <w:rPr>
          <w:rFonts w:asciiTheme="majorHAnsi" w:hAnsiTheme="majorHAnsi"/>
        </w:rPr>
        <w:t xml:space="preserve">regular consideration by the Board of financial results and variance from </w:t>
      </w:r>
      <w:r w:rsidR="002E2081" w:rsidRPr="00102D42">
        <w:rPr>
          <w:rFonts w:asciiTheme="majorHAnsi" w:hAnsiTheme="majorHAnsi"/>
        </w:rPr>
        <w:t>budgets.</w:t>
      </w:r>
    </w:p>
    <w:p w14:paraId="7FAF79EA" w14:textId="2172CF1F" w:rsidR="008229E0" w:rsidRPr="00102D42" w:rsidRDefault="008229E0" w:rsidP="002E2081">
      <w:pPr>
        <w:numPr>
          <w:ilvl w:val="0"/>
          <w:numId w:val="60"/>
        </w:numPr>
        <w:tabs>
          <w:tab w:val="clear" w:pos="360"/>
          <w:tab w:val="num" w:pos="284"/>
        </w:tabs>
        <w:spacing w:line="276" w:lineRule="auto"/>
        <w:ind w:left="284" w:hanging="284"/>
        <w:jc w:val="both"/>
        <w:rPr>
          <w:rFonts w:asciiTheme="majorHAnsi" w:hAnsiTheme="majorHAnsi"/>
        </w:rPr>
      </w:pPr>
      <w:r w:rsidRPr="00102D42">
        <w:rPr>
          <w:rFonts w:asciiTheme="majorHAnsi" w:hAnsiTheme="majorHAnsi"/>
        </w:rPr>
        <w:t xml:space="preserve">delegation of authority and segregation of </w:t>
      </w:r>
      <w:r w:rsidR="002E2081" w:rsidRPr="00102D42">
        <w:rPr>
          <w:rFonts w:asciiTheme="majorHAnsi" w:hAnsiTheme="majorHAnsi"/>
        </w:rPr>
        <w:t>duties.</w:t>
      </w:r>
      <w:r w:rsidRPr="00102D42">
        <w:rPr>
          <w:rFonts w:asciiTheme="majorHAnsi" w:hAnsiTheme="majorHAnsi"/>
        </w:rPr>
        <w:t xml:space="preserve"> </w:t>
      </w:r>
    </w:p>
    <w:p w14:paraId="09E4FF9F" w14:textId="77777777" w:rsidR="008229E0" w:rsidRPr="00102D42" w:rsidRDefault="008229E0" w:rsidP="002E2081">
      <w:pPr>
        <w:numPr>
          <w:ilvl w:val="0"/>
          <w:numId w:val="60"/>
        </w:numPr>
        <w:tabs>
          <w:tab w:val="clear" w:pos="360"/>
          <w:tab w:val="num" w:pos="284"/>
        </w:tabs>
        <w:spacing w:line="276" w:lineRule="auto"/>
        <w:ind w:left="284" w:hanging="284"/>
        <w:jc w:val="both"/>
        <w:rPr>
          <w:rFonts w:asciiTheme="majorHAnsi" w:hAnsiTheme="majorHAnsi"/>
        </w:rPr>
      </w:pPr>
      <w:r w:rsidRPr="00102D42">
        <w:rPr>
          <w:rFonts w:asciiTheme="majorHAnsi" w:hAnsiTheme="majorHAnsi"/>
        </w:rPr>
        <w:t>management of risk.</w:t>
      </w:r>
    </w:p>
    <w:p w14:paraId="28A8EAD5" w14:textId="77777777" w:rsidR="003644D2" w:rsidRDefault="003644D2"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1F79FB28" w14:textId="2458797F"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All staff and volunteers have a role in identifying and reporting risks within their respective areas of responsibility.</w:t>
      </w:r>
    </w:p>
    <w:p w14:paraId="25A4FA1C"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451BD013" w14:textId="66313996" w:rsidR="008229E0" w:rsidRPr="008229E0"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8229E0">
        <w:rPr>
          <w:rFonts w:ascii="Century Gothic" w:hAnsi="Century Gothic"/>
          <w:color w:val="1F4E79" w:themeColor="accent5" w:themeShade="80"/>
          <w:spacing w:val="-3"/>
          <w:kern w:val="28"/>
          <w:sz w:val="32"/>
          <w:szCs w:val="32"/>
          <w:lang w:eastAsia="en-US"/>
        </w:rPr>
        <w:t>Risk Identification and Assessment</w:t>
      </w:r>
    </w:p>
    <w:p w14:paraId="570A42D1"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3FB22491" w14:textId="22AA6E5B"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Risks will be identified through regular risk assessments conducted at least annually.</w:t>
      </w:r>
    </w:p>
    <w:p w14:paraId="3031A3F2"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7B6B4983" w14:textId="3AA8EAB8"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Identified risks will be assessed based on likelihood and impact to determine the level of risk.</w:t>
      </w:r>
    </w:p>
    <w:p w14:paraId="5DF0152F"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5E6989CF" w14:textId="7EF88FBA"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 xml:space="preserve">Risks will be categorized as strategic, operational, financial, or </w:t>
      </w:r>
      <w:r w:rsidR="002E2081" w:rsidRPr="008229E0">
        <w:rPr>
          <w:rFonts w:asciiTheme="majorHAnsi" w:eastAsiaTheme="majorEastAsia" w:hAnsiTheme="majorHAnsi" w:cstheme="majorBidi"/>
          <w:color w:val="auto"/>
          <w:szCs w:val="24"/>
        </w:rPr>
        <w:t>compliance related</w:t>
      </w:r>
      <w:r w:rsidRPr="008229E0">
        <w:rPr>
          <w:rFonts w:asciiTheme="majorHAnsi" w:eastAsiaTheme="majorEastAsia" w:hAnsiTheme="majorHAnsi" w:cstheme="majorBidi"/>
          <w:color w:val="auto"/>
          <w:szCs w:val="24"/>
        </w:rPr>
        <w:t>.</w:t>
      </w:r>
    </w:p>
    <w:p w14:paraId="72D15A76" w14:textId="77777777" w:rsidR="008229E0" w:rsidRPr="002E2081"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406FF5EA" w14:textId="37C3EFC0" w:rsidR="008229E0" w:rsidRPr="008229E0"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8229E0">
        <w:rPr>
          <w:rFonts w:ascii="Century Gothic" w:hAnsi="Century Gothic"/>
          <w:color w:val="1F4E79" w:themeColor="accent5" w:themeShade="80"/>
          <w:spacing w:val="-3"/>
          <w:kern w:val="28"/>
          <w:sz w:val="32"/>
          <w:szCs w:val="32"/>
          <w:lang w:eastAsia="en-US"/>
        </w:rPr>
        <w:t>Risk Mitigation and Management</w:t>
      </w:r>
    </w:p>
    <w:p w14:paraId="2239F3B7" w14:textId="77777777" w:rsidR="008229E0" w:rsidRPr="002E2081"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24"/>
          <w:szCs w:val="24"/>
          <w:lang w:eastAsia="en-US"/>
        </w:rPr>
      </w:pPr>
    </w:p>
    <w:p w14:paraId="244787ED" w14:textId="226BC6ED"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Strategies for risk mitigation will be developed for high-priority risks.</w:t>
      </w:r>
    </w:p>
    <w:p w14:paraId="67365DC5"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2BB84421" w14:textId="70658BA9"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Mitigation plans will be assigned to responsible individuals with clear timelines.</w:t>
      </w:r>
    </w:p>
    <w:p w14:paraId="571A7F9A"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2E9E1A14" w14:textId="6DD3FE4D"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Regular monitoring and reporting on the progress of risk mitigation plans will be conducted.</w:t>
      </w:r>
    </w:p>
    <w:p w14:paraId="025B30A9"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7F666A21" w14:textId="50681621" w:rsidR="008229E0" w:rsidRPr="008229E0"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8229E0">
        <w:rPr>
          <w:rFonts w:ascii="Century Gothic" w:hAnsi="Century Gothic"/>
          <w:color w:val="1F4E79" w:themeColor="accent5" w:themeShade="80"/>
          <w:spacing w:val="-3"/>
          <w:kern w:val="28"/>
          <w:sz w:val="32"/>
          <w:szCs w:val="32"/>
          <w:lang w:eastAsia="en-US"/>
        </w:rPr>
        <w:t>Reporting and Communication</w:t>
      </w:r>
    </w:p>
    <w:p w14:paraId="170270AD"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53A94AA1" w14:textId="5F4EFF62"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A risk register will be maintained and regularly reviewed by the Board of Trustees.</w:t>
      </w:r>
    </w:p>
    <w:p w14:paraId="20A0DBA8"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5617755A" w14:textId="741448FD"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Key risks and mitigation efforts will be communicated to relevant stakeholders.</w:t>
      </w:r>
    </w:p>
    <w:p w14:paraId="2A889871" w14:textId="77777777" w:rsidR="00812816" w:rsidRDefault="00812816" w:rsidP="002E2081">
      <w:pPr>
        <w:spacing w:line="276" w:lineRule="auto"/>
        <w:rPr>
          <w:rFonts w:asciiTheme="majorHAnsi" w:eastAsiaTheme="majorEastAsia" w:hAnsiTheme="majorHAnsi" w:cstheme="majorBidi"/>
          <w:color w:val="auto"/>
          <w:szCs w:val="24"/>
        </w:rPr>
      </w:pPr>
    </w:p>
    <w:p w14:paraId="3230C6EE" w14:textId="1ED415B1" w:rsidR="00812816" w:rsidRDefault="00812816" w:rsidP="002E2081">
      <w:pPr>
        <w:spacing w:line="276" w:lineRule="auto"/>
        <w:rPr>
          <w:rFonts w:asciiTheme="majorHAnsi" w:eastAsiaTheme="majorEastAsia" w:hAnsiTheme="majorHAnsi" w:cstheme="majorBidi"/>
          <w:color w:val="auto"/>
          <w:szCs w:val="24"/>
        </w:rPr>
      </w:pPr>
      <w:r>
        <w:rPr>
          <w:rFonts w:asciiTheme="majorHAnsi" w:eastAsiaTheme="majorEastAsia" w:hAnsiTheme="majorHAnsi" w:cstheme="majorBidi"/>
          <w:color w:val="auto"/>
          <w:szCs w:val="24"/>
        </w:rPr>
        <w:t xml:space="preserve">In its annual report, the Board will </w:t>
      </w:r>
      <w:r w:rsidRPr="00812816">
        <w:rPr>
          <w:rFonts w:asciiTheme="majorHAnsi" w:eastAsiaTheme="majorEastAsia" w:hAnsiTheme="majorHAnsi" w:cstheme="majorBidi"/>
          <w:color w:val="auto"/>
          <w:szCs w:val="24"/>
        </w:rPr>
        <w:t xml:space="preserve">report on the steps </w:t>
      </w:r>
      <w:r>
        <w:rPr>
          <w:rFonts w:asciiTheme="majorHAnsi" w:eastAsiaTheme="majorEastAsia" w:hAnsiTheme="majorHAnsi" w:cstheme="majorBidi"/>
          <w:color w:val="auto"/>
          <w:szCs w:val="24"/>
        </w:rPr>
        <w:t xml:space="preserve">it </w:t>
      </w:r>
      <w:r w:rsidRPr="00812816">
        <w:rPr>
          <w:rFonts w:asciiTheme="majorHAnsi" w:eastAsiaTheme="majorEastAsia" w:hAnsiTheme="majorHAnsi" w:cstheme="majorBidi"/>
          <w:color w:val="auto"/>
          <w:szCs w:val="24"/>
        </w:rPr>
        <w:t>has taken to manage risk</w:t>
      </w:r>
      <w:r>
        <w:rPr>
          <w:rFonts w:asciiTheme="majorHAnsi" w:eastAsiaTheme="majorEastAsia" w:hAnsiTheme="majorHAnsi" w:cstheme="majorBidi"/>
          <w:color w:val="auto"/>
          <w:szCs w:val="24"/>
        </w:rPr>
        <w:t xml:space="preserve">, </w:t>
      </w:r>
      <w:r w:rsidRPr="00812816">
        <w:rPr>
          <w:rFonts w:asciiTheme="majorHAnsi" w:eastAsiaTheme="majorEastAsia" w:hAnsiTheme="majorHAnsi" w:cstheme="majorBidi"/>
          <w:color w:val="auto"/>
          <w:szCs w:val="24"/>
        </w:rPr>
        <w:t>to demonstrate the charity's accountability to its stakeholders including beneficiaries, donors, funders, employees and the general public.</w:t>
      </w:r>
    </w:p>
    <w:p w14:paraId="27254E9B" w14:textId="77777777" w:rsidR="00812816" w:rsidRPr="008229E0" w:rsidRDefault="00812816" w:rsidP="002E2081">
      <w:pPr>
        <w:spacing w:line="276" w:lineRule="auto"/>
        <w:rPr>
          <w:rFonts w:asciiTheme="majorHAnsi" w:eastAsiaTheme="majorEastAsia" w:hAnsiTheme="majorHAnsi" w:cstheme="majorBidi"/>
          <w:color w:val="auto"/>
          <w:szCs w:val="24"/>
        </w:rPr>
      </w:pPr>
    </w:p>
    <w:p w14:paraId="3D95449D" w14:textId="40C31F44" w:rsidR="008229E0" w:rsidRPr="008229E0"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8229E0">
        <w:rPr>
          <w:rFonts w:ascii="Century Gothic" w:hAnsi="Century Gothic"/>
          <w:color w:val="1F4E79" w:themeColor="accent5" w:themeShade="80"/>
          <w:spacing w:val="-3"/>
          <w:kern w:val="28"/>
          <w:sz w:val="32"/>
          <w:szCs w:val="32"/>
          <w:lang w:eastAsia="en-US"/>
        </w:rPr>
        <w:t>Review and Continuous Improvement</w:t>
      </w:r>
    </w:p>
    <w:p w14:paraId="22760B10"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259317FE" w14:textId="092B48E0"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The risk management policy and processes will be reviewed annually or as needed.</w:t>
      </w:r>
    </w:p>
    <w:p w14:paraId="170C2113"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475D996A" w14:textId="36C59E5E"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Lessons learned from risk events will be used to improve risk management practices.</w:t>
      </w:r>
    </w:p>
    <w:p w14:paraId="6CD3443B"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7FED8BA2" w14:textId="47037324" w:rsidR="008229E0" w:rsidRPr="008229E0"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8229E0">
        <w:rPr>
          <w:rFonts w:ascii="Century Gothic" w:hAnsi="Century Gothic"/>
          <w:color w:val="1F4E79" w:themeColor="accent5" w:themeShade="80"/>
          <w:spacing w:val="-3"/>
          <w:kern w:val="28"/>
          <w:sz w:val="32"/>
          <w:szCs w:val="32"/>
          <w:lang w:eastAsia="en-US"/>
        </w:rPr>
        <w:t>Training and Awareness</w:t>
      </w:r>
    </w:p>
    <w:p w14:paraId="5712BDF6" w14:textId="77777777" w:rsidR="008229E0" w:rsidRPr="008229E0" w:rsidRDefault="008229E0" w:rsidP="002E2081">
      <w:pPr>
        <w:spacing w:line="276" w:lineRule="auto"/>
        <w:rPr>
          <w:rFonts w:asciiTheme="majorHAnsi" w:eastAsiaTheme="majorEastAsia" w:hAnsiTheme="majorHAnsi" w:cstheme="majorBidi"/>
          <w:b/>
          <w:bCs/>
          <w:color w:val="auto"/>
          <w:szCs w:val="24"/>
        </w:rPr>
      </w:pPr>
    </w:p>
    <w:p w14:paraId="050E66CE" w14:textId="36E9DCED" w:rsidR="008229E0" w:rsidRPr="008229E0"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Staff and volunteers will receive training on risk management principles and practices.</w:t>
      </w:r>
    </w:p>
    <w:p w14:paraId="148A978C" w14:textId="77777777" w:rsidR="008229E0" w:rsidRPr="008229E0" w:rsidRDefault="008229E0" w:rsidP="002E2081">
      <w:pPr>
        <w:spacing w:line="276" w:lineRule="auto"/>
        <w:rPr>
          <w:rFonts w:asciiTheme="majorHAnsi" w:eastAsiaTheme="majorEastAsia" w:hAnsiTheme="majorHAnsi" w:cstheme="majorBidi"/>
          <w:color w:val="auto"/>
          <w:szCs w:val="24"/>
        </w:rPr>
      </w:pPr>
    </w:p>
    <w:p w14:paraId="0A1D51F1" w14:textId="29CC95F9" w:rsidR="002E2081" w:rsidRDefault="008229E0" w:rsidP="002E2081">
      <w:pPr>
        <w:spacing w:line="276" w:lineRule="auto"/>
        <w:rPr>
          <w:rFonts w:asciiTheme="majorHAnsi" w:eastAsiaTheme="majorEastAsia" w:hAnsiTheme="majorHAnsi" w:cstheme="majorBidi"/>
          <w:color w:val="auto"/>
          <w:szCs w:val="24"/>
        </w:rPr>
      </w:pPr>
      <w:r w:rsidRPr="008229E0">
        <w:rPr>
          <w:rFonts w:asciiTheme="majorHAnsi" w:eastAsiaTheme="majorEastAsia" w:hAnsiTheme="majorHAnsi" w:cstheme="majorBidi"/>
          <w:color w:val="auto"/>
          <w:szCs w:val="24"/>
        </w:rPr>
        <w:t>Regular communication will be conducted to raise awareness of the importance of risk management.</w:t>
      </w:r>
    </w:p>
    <w:p w14:paraId="3720F02A" w14:textId="77777777" w:rsidR="00A556A2" w:rsidRPr="00CB0E43" w:rsidRDefault="00A556A2" w:rsidP="00A556A2">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CB0E43">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A556A2" w14:paraId="2B324E9C" w14:textId="77777777" w:rsidTr="00773B1C">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5AA570D" w14:textId="77777777" w:rsidR="00A556A2" w:rsidRPr="00061194" w:rsidRDefault="00A556A2" w:rsidP="00773B1C">
            <w:pPr>
              <w:spacing w:line="276" w:lineRule="auto"/>
              <w:jc w:val="center"/>
              <w:rPr>
                <w:rFonts w:cs="Calibri Light"/>
                <w:b/>
                <w:bCs/>
                <w:color w:val="1F4E79" w:themeColor="accent5" w:themeShade="80"/>
              </w:rPr>
            </w:pPr>
            <w:r w:rsidRPr="00061194">
              <w:rPr>
                <w:rFonts w:cs="Calibri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2DA2E63" w14:textId="77777777" w:rsidR="00A556A2" w:rsidRPr="00061194" w:rsidRDefault="00A556A2" w:rsidP="00773B1C">
            <w:pPr>
              <w:spacing w:line="276" w:lineRule="auto"/>
              <w:jc w:val="center"/>
              <w:rPr>
                <w:rFonts w:cs="Calibri Light"/>
                <w:b/>
                <w:bCs/>
                <w:color w:val="1F4E79" w:themeColor="accent5" w:themeShade="80"/>
              </w:rPr>
            </w:pPr>
            <w:r w:rsidRPr="00061194">
              <w:rPr>
                <w:rFonts w:cs="Calibri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73293A9" w14:textId="77777777" w:rsidR="00A556A2" w:rsidRPr="00061194" w:rsidRDefault="00A556A2" w:rsidP="00773B1C">
            <w:pPr>
              <w:spacing w:line="276" w:lineRule="auto"/>
              <w:jc w:val="center"/>
              <w:rPr>
                <w:rFonts w:cs="Calibri Light"/>
                <w:b/>
                <w:bCs/>
                <w:color w:val="1F4E79" w:themeColor="accent5" w:themeShade="80"/>
              </w:rPr>
            </w:pPr>
            <w:r w:rsidRPr="00061194">
              <w:rPr>
                <w:rFonts w:cs="Calibri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A579270" w14:textId="77777777" w:rsidR="00A556A2" w:rsidRPr="00061194" w:rsidRDefault="00A556A2" w:rsidP="00773B1C">
            <w:pPr>
              <w:spacing w:line="276" w:lineRule="auto"/>
              <w:jc w:val="center"/>
              <w:rPr>
                <w:rFonts w:cs="Calibri Light"/>
                <w:b/>
                <w:bCs/>
                <w:color w:val="1F4E79" w:themeColor="accent5" w:themeShade="80"/>
              </w:rPr>
            </w:pPr>
            <w:r w:rsidRPr="00061194">
              <w:rPr>
                <w:rFonts w:cs="Calibri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C999692" w14:textId="77777777" w:rsidR="00A556A2" w:rsidRPr="00061194" w:rsidRDefault="00A556A2" w:rsidP="00773B1C">
            <w:pPr>
              <w:spacing w:line="276" w:lineRule="auto"/>
              <w:jc w:val="center"/>
              <w:rPr>
                <w:rFonts w:cs="Calibri Light"/>
                <w:b/>
                <w:bCs/>
                <w:color w:val="1F4E79" w:themeColor="accent5" w:themeShade="80"/>
              </w:rPr>
            </w:pPr>
            <w:r w:rsidRPr="00061194">
              <w:rPr>
                <w:rFonts w:cs="Calibri Light"/>
                <w:b/>
                <w:bCs/>
                <w:color w:val="1F4E79" w:themeColor="accent5" w:themeShade="80"/>
              </w:rPr>
              <w:t>Review Period</w:t>
            </w:r>
          </w:p>
        </w:tc>
      </w:tr>
      <w:tr w:rsidR="00A556A2" w14:paraId="40BE6CEC" w14:textId="77777777" w:rsidTr="00773B1C">
        <w:tc>
          <w:tcPr>
            <w:tcW w:w="987" w:type="dxa"/>
            <w:tcBorders>
              <w:top w:val="single" w:sz="4" w:space="0" w:color="auto"/>
              <w:left w:val="single" w:sz="4" w:space="0" w:color="auto"/>
              <w:bottom w:val="single" w:sz="4" w:space="0" w:color="auto"/>
              <w:right w:val="single" w:sz="4" w:space="0" w:color="auto"/>
            </w:tcBorders>
            <w:vAlign w:val="center"/>
            <w:hideMark/>
          </w:tcPr>
          <w:p w14:paraId="43FE7BFB" w14:textId="77777777" w:rsidR="00A556A2" w:rsidRPr="00061194" w:rsidRDefault="00A556A2" w:rsidP="00773B1C">
            <w:pPr>
              <w:spacing w:line="276" w:lineRule="auto"/>
              <w:jc w:val="center"/>
              <w:rPr>
                <w:rFonts w:cs="Calibri Light"/>
              </w:rPr>
            </w:pPr>
            <w:r w:rsidRPr="00061194">
              <w:rPr>
                <w:rFonts w:cs="Calibri Light"/>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E726B3" w14:textId="77777777" w:rsidR="00A556A2" w:rsidRPr="00061194" w:rsidRDefault="00A556A2" w:rsidP="00773B1C">
            <w:pPr>
              <w:spacing w:line="276" w:lineRule="auto"/>
              <w:jc w:val="center"/>
              <w:rPr>
                <w:rFonts w:cs="Calibri Light"/>
              </w:rPr>
            </w:pPr>
            <w:r w:rsidRPr="00061194">
              <w:rPr>
                <w:rFonts w:cs="Calibri Light"/>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C464B1" w14:textId="3503198A" w:rsidR="00A556A2" w:rsidRPr="00061194" w:rsidRDefault="00A556A2" w:rsidP="00773B1C">
            <w:pPr>
              <w:spacing w:line="276" w:lineRule="auto"/>
              <w:jc w:val="center"/>
              <w:rPr>
                <w:rFonts w:cs="Calibri Light"/>
              </w:rPr>
            </w:pPr>
            <w:r>
              <w:rPr>
                <w:rFonts w:asciiTheme="majorHAnsi" w:hAnsiTheme="majorHAnsi"/>
                <w:color w:val="auto"/>
                <w:spacing w:val="0"/>
                <w:kern w:val="0"/>
              </w:rPr>
              <w:t>Jan 24</w:t>
            </w:r>
          </w:p>
        </w:tc>
        <w:tc>
          <w:tcPr>
            <w:tcW w:w="5104" w:type="dxa"/>
            <w:tcBorders>
              <w:top w:val="single" w:sz="4" w:space="0" w:color="auto"/>
              <w:left w:val="single" w:sz="4" w:space="0" w:color="auto"/>
              <w:bottom w:val="single" w:sz="4" w:space="0" w:color="auto"/>
              <w:right w:val="single" w:sz="4" w:space="0" w:color="auto"/>
            </w:tcBorders>
            <w:vAlign w:val="center"/>
          </w:tcPr>
          <w:p w14:paraId="43578E9A" w14:textId="77777777" w:rsidR="00A556A2" w:rsidRPr="00061194" w:rsidRDefault="00A556A2" w:rsidP="00773B1C">
            <w:pPr>
              <w:spacing w:line="276" w:lineRule="auto"/>
              <w:jc w:val="center"/>
              <w:rPr>
                <w:rFonts w:cs="Calibri Light"/>
              </w:rPr>
            </w:pPr>
            <w:r w:rsidRPr="00061194">
              <w:rPr>
                <w:rFonts w:cs="Calibri Light"/>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067B8C" w14:textId="77777777" w:rsidR="00A556A2" w:rsidRPr="00061194" w:rsidRDefault="00A556A2" w:rsidP="00773B1C">
            <w:pPr>
              <w:spacing w:line="276" w:lineRule="auto"/>
              <w:jc w:val="center"/>
              <w:rPr>
                <w:rFonts w:cs="Calibri Light"/>
              </w:rPr>
            </w:pPr>
            <w:r w:rsidRPr="00061194">
              <w:rPr>
                <w:rFonts w:cs="Calibri Light"/>
              </w:rPr>
              <w:t>Annually</w:t>
            </w:r>
          </w:p>
        </w:tc>
      </w:tr>
      <w:tr w:rsidR="00A556A2" w14:paraId="30CD05A5" w14:textId="77777777" w:rsidTr="00773B1C">
        <w:tc>
          <w:tcPr>
            <w:tcW w:w="987" w:type="dxa"/>
            <w:tcBorders>
              <w:top w:val="single" w:sz="4" w:space="0" w:color="auto"/>
              <w:left w:val="single" w:sz="4" w:space="0" w:color="auto"/>
              <w:bottom w:val="single" w:sz="4" w:space="0" w:color="auto"/>
              <w:right w:val="single" w:sz="4" w:space="0" w:color="auto"/>
            </w:tcBorders>
            <w:vAlign w:val="center"/>
          </w:tcPr>
          <w:p w14:paraId="64656303" w14:textId="0B6B8B5A" w:rsidR="00A556A2" w:rsidRPr="00A533DC" w:rsidRDefault="00A556A2" w:rsidP="00773B1C">
            <w:pPr>
              <w:spacing w:line="276" w:lineRule="auto"/>
              <w:jc w:val="center"/>
              <w:rPr>
                <w:rFonts w:cs="Calibri Light"/>
              </w:rPr>
            </w:pPr>
          </w:p>
        </w:tc>
        <w:tc>
          <w:tcPr>
            <w:tcW w:w="1417" w:type="dxa"/>
            <w:tcBorders>
              <w:top w:val="single" w:sz="4" w:space="0" w:color="auto"/>
              <w:left w:val="single" w:sz="4" w:space="0" w:color="auto"/>
              <w:bottom w:val="single" w:sz="4" w:space="0" w:color="auto"/>
              <w:right w:val="single" w:sz="4" w:space="0" w:color="auto"/>
            </w:tcBorders>
            <w:vAlign w:val="center"/>
          </w:tcPr>
          <w:p w14:paraId="20945CA8" w14:textId="77777777" w:rsidR="00A556A2" w:rsidRPr="00A533DC" w:rsidRDefault="00A556A2" w:rsidP="00773B1C">
            <w:pPr>
              <w:spacing w:line="276" w:lineRule="auto"/>
              <w:jc w:val="center"/>
              <w:rPr>
                <w:rFonts w:cs="Calibri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76B36874" w14:textId="7C9C18AC" w:rsidR="00A556A2" w:rsidRPr="00A533DC" w:rsidRDefault="00A556A2" w:rsidP="00773B1C">
            <w:pPr>
              <w:spacing w:line="276" w:lineRule="auto"/>
              <w:jc w:val="center"/>
              <w:rPr>
                <w:rFonts w:cs="Calibri Light"/>
              </w:rPr>
            </w:pPr>
          </w:p>
        </w:tc>
        <w:tc>
          <w:tcPr>
            <w:tcW w:w="5104" w:type="dxa"/>
            <w:tcBorders>
              <w:top w:val="single" w:sz="4" w:space="0" w:color="auto"/>
              <w:left w:val="single" w:sz="4" w:space="0" w:color="auto"/>
              <w:bottom w:val="single" w:sz="4" w:space="0" w:color="auto"/>
              <w:right w:val="single" w:sz="4" w:space="0" w:color="auto"/>
            </w:tcBorders>
            <w:vAlign w:val="center"/>
          </w:tcPr>
          <w:p w14:paraId="5BBB18A9" w14:textId="52F78452" w:rsidR="00A556A2" w:rsidRPr="00A533DC" w:rsidRDefault="00A556A2" w:rsidP="00773B1C">
            <w:pPr>
              <w:spacing w:line="276" w:lineRule="auto"/>
              <w:jc w:val="center"/>
              <w:rPr>
                <w:rFonts w:cs="Calibri Light"/>
              </w:rPr>
            </w:pPr>
          </w:p>
        </w:tc>
        <w:tc>
          <w:tcPr>
            <w:tcW w:w="1559" w:type="dxa"/>
            <w:tcBorders>
              <w:top w:val="single" w:sz="4" w:space="0" w:color="auto"/>
              <w:left w:val="single" w:sz="4" w:space="0" w:color="auto"/>
              <w:bottom w:val="single" w:sz="4" w:space="0" w:color="auto"/>
              <w:right w:val="single" w:sz="4" w:space="0" w:color="auto"/>
            </w:tcBorders>
            <w:vAlign w:val="center"/>
          </w:tcPr>
          <w:p w14:paraId="33ADE23D" w14:textId="77777777" w:rsidR="00A556A2" w:rsidRPr="00EE644F" w:rsidRDefault="00A556A2" w:rsidP="00773B1C">
            <w:pPr>
              <w:spacing w:line="276" w:lineRule="auto"/>
              <w:jc w:val="center"/>
              <w:rPr>
                <w:rFonts w:ascii="Corbel Light" w:hAnsi="Corbel Light"/>
              </w:rPr>
            </w:pPr>
          </w:p>
        </w:tc>
      </w:tr>
      <w:tr w:rsidR="00A556A2" w14:paraId="2EC4E44C" w14:textId="77777777" w:rsidTr="00773B1C">
        <w:tc>
          <w:tcPr>
            <w:tcW w:w="987" w:type="dxa"/>
            <w:tcBorders>
              <w:top w:val="single" w:sz="4" w:space="0" w:color="auto"/>
              <w:left w:val="single" w:sz="4" w:space="0" w:color="auto"/>
              <w:bottom w:val="single" w:sz="4" w:space="0" w:color="auto"/>
              <w:right w:val="single" w:sz="4" w:space="0" w:color="auto"/>
            </w:tcBorders>
            <w:vAlign w:val="center"/>
          </w:tcPr>
          <w:p w14:paraId="445E495B" w14:textId="77777777" w:rsidR="00A556A2" w:rsidRPr="00EE644F" w:rsidRDefault="00A556A2" w:rsidP="00773B1C">
            <w:pPr>
              <w:spacing w:line="276" w:lineRule="auto"/>
              <w:jc w:val="center"/>
              <w:rPr>
                <w:rFonts w:ascii="Corbel Light" w:hAnsi="Corbel Light"/>
              </w:rPr>
            </w:pPr>
          </w:p>
        </w:tc>
        <w:tc>
          <w:tcPr>
            <w:tcW w:w="1417" w:type="dxa"/>
            <w:tcBorders>
              <w:top w:val="single" w:sz="4" w:space="0" w:color="auto"/>
              <w:left w:val="single" w:sz="4" w:space="0" w:color="auto"/>
              <w:bottom w:val="single" w:sz="4" w:space="0" w:color="auto"/>
              <w:right w:val="single" w:sz="4" w:space="0" w:color="auto"/>
            </w:tcBorders>
            <w:vAlign w:val="center"/>
          </w:tcPr>
          <w:p w14:paraId="70310DA9" w14:textId="77777777" w:rsidR="00A556A2" w:rsidRPr="00EE644F" w:rsidRDefault="00A556A2" w:rsidP="00773B1C">
            <w:pPr>
              <w:spacing w:line="276" w:lineRule="auto"/>
              <w:jc w:val="center"/>
              <w:rPr>
                <w:rFonts w:ascii="Corbel Light" w:hAnsi="Corbel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24E5F1ED" w14:textId="77777777" w:rsidR="00A556A2" w:rsidRPr="00EE644F" w:rsidRDefault="00A556A2" w:rsidP="00773B1C">
            <w:pPr>
              <w:spacing w:line="276" w:lineRule="auto"/>
              <w:jc w:val="center"/>
              <w:rPr>
                <w:rFonts w:ascii="Corbel Light" w:hAnsi="Corbel Light"/>
              </w:rPr>
            </w:pPr>
          </w:p>
        </w:tc>
        <w:tc>
          <w:tcPr>
            <w:tcW w:w="5104" w:type="dxa"/>
            <w:tcBorders>
              <w:top w:val="single" w:sz="4" w:space="0" w:color="auto"/>
              <w:left w:val="single" w:sz="4" w:space="0" w:color="auto"/>
              <w:bottom w:val="single" w:sz="4" w:space="0" w:color="auto"/>
              <w:right w:val="single" w:sz="4" w:space="0" w:color="auto"/>
            </w:tcBorders>
            <w:vAlign w:val="center"/>
          </w:tcPr>
          <w:p w14:paraId="247EC95F" w14:textId="77777777" w:rsidR="00A556A2" w:rsidRPr="00EE644F" w:rsidRDefault="00A556A2" w:rsidP="00773B1C">
            <w:pPr>
              <w:spacing w:line="276" w:lineRule="auto"/>
              <w:jc w:val="center"/>
              <w:rPr>
                <w:rFonts w:ascii="Corbel Light" w:hAnsi="Corbel Light"/>
              </w:rPr>
            </w:pPr>
          </w:p>
        </w:tc>
        <w:tc>
          <w:tcPr>
            <w:tcW w:w="1559" w:type="dxa"/>
            <w:tcBorders>
              <w:top w:val="single" w:sz="4" w:space="0" w:color="auto"/>
              <w:left w:val="single" w:sz="4" w:space="0" w:color="auto"/>
              <w:bottom w:val="single" w:sz="4" w:space="0" w:color="auto"/>
              <w:right w:val="single" w:sz="4" w:space="0" w:color="auto"/>
            </w:tcBorders>
            <w:vAlign w:val="center"/>
          </w:tcPr>
          <w:p w14:paraId="2F0004CC" w14:textId="77777777" w:rsidR="00A556A2" w:rsidRPr="00EE644F" w:rsidRDefault="00A556A2" w:rsidP="00773B1C">
            <w:pPr>
              <w:spacing w:line="276" w:lineRule="auto"/>
              <w:jc w:val="center"/>
              <w:rPr>
                <w:rFonts w:ascii="Corbel Light" w:hAnsi="Corbel Light"/>
              </w:rPr>
            </w:pPr>
          </w:p>
        </w:tc>
      </w:tr>
    </w:tbl>
    <w:p w14:paraId="5276F773" w14:textId="77777777" w:rsidR="00A556A2" w:rsidRDefault="00A556A2" w:rsidP="00A556A2">
      <w:pPr>
        <w:spacing w:line="276" w:lineRule="auto"/>
        <w:rPr>
          <w:rFonts w:asciiTheme="majorHAnsi" w:eastAsia="Times New Roman" w:hAnsiTheme="majorHAnsi"/>
          <w:color w:val="auto"/>
          <w:spacing w:val="0"/>
          <w:kern w:val="0"/>
          <w:szCs w:val="24"/>
          <w:lang w:eastAsia="en-GB"/>
        </w:rPr>
      </w:pPr>
    </w:p>
    <w:p w14:paraId="042858C0" w14:textId="428A2A93" w:rsidR="002E2081" w:rsidRPr="005A3E5D" w:rsidRDefault="002E2081" w:rsidP="002E2081">
      <w:pPr>
        <w:shd w:val="clear" w:color="auto" w:fill="FFFFFF"/>
        <w:tabs>
          <w:tab w:val="left" w:pos="9360"/>
          <w:tab w:val="left" w:pos="10800"/>
          <w:tab w:val="left" w:pos="12240"/>
          <w:tab w:val="left" w:pos="13680"/>
        </w:tabs>
        <w:spacing w:line="276" w:lineRule="auto"/>
        <w:rPr>
          <w:rFonts w:ascii="Century Gothic" w:hAnsi="Century Gothic"/>
          <w:bCs/>
          <w:color w:val="1F4E79" w:themeColor="accent5" w:themeShade="80"/>
        </w:rPr>
      </w:pPr>
      <w:r w:rsidRPr="002E2081">
        <w:rPr>
          <w:rFonts w:ascii="Century Gothic" w:hAnsi="Century Gothic"/>
          <w:b/>
          <w:bCs/>
          <w:color w:val="1F4E79" w:themeColor="accent5" w:themeShade="80"/>
          <w:spacing w:val="-3"/>
          <w:sz w:val="32"/>
          <w:szCs w:val="32"/>
        </w:rPr>
        <w:t>Useful links</w:t>
      </w:r>
    </w:p>
    <w:p w14:paraId="1AE16E9B" w14:textId="77777777" w:rsidR="002E2081" w:rsidRPr="005A3E5D" w:rsidRDefault="002E2081" w:rsidP="002E2081">
      <w:pPr>
        <w:spacing w:line="276" w:lineRule="auto"/>
        <w:rPr>
          <w:rFonts w:asciiTheme="majorHAnsi" w:hAnsiTheme="majorHAnsi"/>
          <w:bCs/>
        </w:rPr>
      </w:pPr>
    </w:p>
    <w:p w14:paraId="555CF445" w14:textId="77777777" w:rsidR="002E2081" w:rsidRPr="005A3E5D" w:rsidRDefault="00000000" w:rsidP="002E2081">
      <w:pPr>
        <w:spacing w:line="276" w:lineRule="auto"/>
        <w:rPr>
          <w:rFonts w:asciiTheme="majorHAnsi" w:hAnsiTheme="majorHAnsi"/>
          <w:bCs/>
        </w:rPr>
      </w:pPr>
      <w:hyperlink r:id="rId9" w:history="1">
        <w:r w:rsidR="002E2081" w:rsidRPr="005A3E5D">
          <w:rPr>
            <w:rStyle w:val="Hyperlink"/>
            <w:rFonts w:asciiTheme="majorHAnsi" w:hAnsiTheme="majorHAnsi"/>
            <w:bCs/>
          </w:rPr>
          <w:t>Charity Governance Code: 4 Decisions, Risk, Control</w:t>
        </w:r>
      </w:hyperlink>
    </w:p>
    <w:p w14:paraId="6A13CB3D" w14:textId="77777777" w:rsidR="002E2081" w:rsidRPr="005A3E5D" w:rsidRDefault="00000000" w:rsidP="002E2081">
      <w:pPr>
        <w:spacing w:line="276" w:lineRule="auto"/>
        <w:rPr>
          <w:rFonts w:asciiTheme="majorHAnsi" w:hAnsiTheme="majorHAnsi"/>
          <w:bCs/>
        </w:rPr>
      </w:pPr>
      <w:hyperlink r:id="rId10" w:history="1">
        <w:r w:rsidR="002E2081" w:rsidRPr="005A3E5D">
          <w:rPr>
            <w:rStyle w:val="Hyperlink"/>
            <w:rFonts w:asciiTheme="majorHAnsi" w:hAnsiTheme="majorHAnsi"/>
            <w:bCs/>
          </w:rPr>
          <w:t>HSE: Charities</w:t>
        </w:r>
      </w:hyperlink>
    </w:p>
    <w:p w14:paraId="1468CAA4" w14:textId="77777777" w:rsidR="002E2081" w:rsidRPr="005A3E5D" w:rsidRDefault="00000000" w:rsidP="002E2081">
      <w:pPr>
        <w:shd w:val="clear" w:color="auto" w:fill="FFFFFF"/>
        <w:spacing w:line="276" w:lineRule="auto"/>
        <w:rPr>
          <w:rStyle w:val="Hyperlink"/>
          <w:rFonts w:asciiTheme="majorHAnsi" w:hAnsiTheme="majorHAnsi"/>
          <w:bCs/>
        </w:rPr>
      </w:pPr>
      <w:hyperlink r:id="rId11" w:history="1">
        <w:r w:rsidR="002E2081" w:rsidRPr="005A3E5D">
          <w:rPr>
            <w:rStyle w:val="Hyperlink"/>
            <w:rFonts w:asciiTheme="majorHAnsi" w:hAnsiTheme="majorHAnsi"/>
            <w:bCs/>
          </w:rPr>
          <w:t>CFG: Charity Fraud Guide</w:t>
        </w:r>
      </w:hyperlink>
    </w:p>
    <w:p w14:paraId="1332A323" w14:textId="77777777" w:rsidR="002E2081" w:rsidRPr="005A3E5D" w:rsidRDefault="00000000" w:rsidP="002E2081">
      <w:pPr>
        <w:spacing w:line="276" w:lineRule="auto"/>
        <w:rPr>
          <w:rStyle w:val="Hyperlink"/>
          <w:rFonts w:asciiTheme="majorHAnsi" w:hAnsiTheme="majorHAnsi"/>
          <w:bCs/>
        </w:rPr>
      </w:pPr>
      <w:hyperlink r:id="rId12" w:history="1">
        <w:r w:rsidR="002E2081" w:rsidRPr="005A3E5D">
          <w:rPr>
            <w:rStyle w:val="Hyperlink"/>
            <w:rFonts w:asciiTheme="majorHAnsi" w:hAnsiTheme="majorHAnsi"/>
            <w:bCs/>
          </w:rPr>
          <w:t>ICAEW: Risk Management</w:t>
        </w:r>
      </w:hyperlink>
    </w:p>
    <w:p w14:paraId="18A939FA" w14:textId="77777777" w:rsidR="002E2081" w:rsidRPr="005A3E5D" w:rsidRDefault="00000000" w:rsidP="002E2081">
      <w:pPr>
        <w:shd w:val="clear" w:color="auto" w:fill="FFFFFF"/>
        <w:spacing w:line="276" w:lineRule="auto"/>
        <w:rPr>
          <w:rStyle w:val="Hyperlink"/>
          <w:rFonts w:asciiTheme="majorHAnsi" w:hAnsiTheme="majorHAnsi"/>
          <w:bCs/>
        </w:rPr>
      </w:pPr>
      <w:hyperlink r:id="rId13" w:anchor="rethinkingrisk" w:history="1">
        <w:r w:rsidR="002E2081" w:rsidRPr="005A3E5D">
          <w:rPr>
            <w:rStyle w:val="Hyperlink"/>
            <w:rFonts w:asciiTheme="majorHAnsi" w:hAnsiTheme="majorHAnsi"/>
            <w:bCs/>
          </w:rPr>
          <w:t>CFG: Rethinking Risk</w:t>
        </w:r>
      </w:hyperlink>
    </w:p>
    <w:p w14:paraId="2F21F181" w14:textId="77777777" w:rsidR="002E2081" w:rsidRDefault="00000000" w:rsidP="002E2081">
      <w:pPr>
        <w:shd w:val="clear" w:color="auto" w:fill="FFFFFF"/>
        <w:tabs>
          <w:tab w:val="left" w:pos="9360"/>
          <w:tab w:val="left" w:pos="10800"/>
          <w:tab w:val="left" w:pos="12240"/>
          <w:tab w:val="left" w:pos="13680"/>
        </w:tabs>
        <w:spacing w:line="276" w:lineRule="auto"/>
        <w:rPr>
          <w:rStyle w:val="Hyperlink"/>
          <w:rFonts w:asciiTheme="majorHAnsi" w:eastAsia="Calibri" w:hAnsiTheme="majorHAnsi"/>
          <w:bCs/>
          <w:lang w:val="en-CA" w:eastAsia="en-GB"/>
        </w:rPr>
      </w:pPr>
      <w:hyperlink r:id="rId14" w:history="1">
        <w:r w:rsidR="002E2081" w:rsidRPr="005A3E5D">
          <w:rPr>
            <w:rStyle w:val="Hyperlink"/>
            <w:rFonts w:asciiTheme="majorHAnsi" w:eastAsia="Calibri" w:hAnsiTheme="majorHAnsi"/>
            <w:bCs/>
            <w:lang w:val="en-CA" w:eastAsia="en-GB"/>
          </w:rPr>
          <w:t>Gov.uk: Data Protection Act</w:t>
        </w:r>
      </w:hyperlink>
    </w:p>
    <w:p w14:paraId="44A01008" w14:textId="77777777" w:rsidR="002E2081" w:rsidRDefault="002E2081" w:rsidP="002E2081">
      <w:pPr>
        <w:shd w:val="clear" w:color="auto" w:fill="FFFFFF"/>
        <w:tabs>
          <w:tab w:val="left" w:pos="9360"/>
          <w:tab w:val="left" w:pos="10800"/>
          <w:tab w:val="left" w:pos="12240"/>
          <w:tab w:val="left" w:pos="13680"/>
        </w:tabs>
        <w:spacing w:line="276" w:lineRule="auto"/>
        <w:rPr>
          <w:rStyle w:val="Hyperlink"/>
          <w:rFonts w:asciiTheme="majorHAnsi" w:eastAsia="Calibri" w:hAnsiTheme="majorHAnsi"/>
          <w:bCs/>
          <w:lang w:val="en-CA" w:eastAsia="en-GB"/>
        </w:rPr>
      </w:pPr>
    </w:p>
    <w:p w14:paraId="035753C0" w14:textId="1B7C90E1" w:rsidR="002E2081" w:rsidRDefault="002E2081" w:rsidP="002E2081">
      <w:pPr>
        <w:shd w:val="clear" w:color="auto" w:fill="FFFFFF"/>
        <w:tabs>
          <w:tab w:val="left" w:pos="9360"/>
          <w:tab w:val="left" w:pos="10800"/>
          <w:tab w:val="left" w:pos="12240"/>
          <w:tab w:val="left" w:pos="13680"/>
        </w:tabs>
        <w:spacing w:line="276" w:lineRule="auto"/>
        <w:rPr>
          <w:rFonts w:ascii="Century Gothic" w:hAnsi="Century Gothic"/>
          <w:b/>
          <w:bCs/>
          <w:color w:val="1F4E79" w:themeColor="accent5" w:themeShade="80"/>
          <w:spacing w:val="-3"/>
          <w:sz w:val="32"/>
          <w:szCs w:val="32"/>
        </w:rPr>
      </w:pPr>
      <w:r w:rsidRPr="002E2081">
        <w:rPr>
          <w:rFonts w:ascii="Century Gothic" w:hAnsi="Century Gothic"/>
          <w:b/>
          <w:bCs/>
          <w:color w:val="1F4E79" w:themeColor="accent5" w:themeShade="80"/>
          <w:spacing w:val="-3"/>
          <w:sz w:val="32"/>
          <w:szCs w:val="32"/>
        </w:rPr>
        <w:t>Charity Commission E&amp;W</w:t>
      </w:r>
    </w:p>
    <w:p w14:paraId="53F75DC9" w14:textId="77777777" w:rsidR="00E7048C" w:rsidRPr="00CD4C1C" w:rsidRDefault="00E7048C" w:rsidP="00E7048C">
      <w:pPr>
        <w:pStyle w:val="Heading1"/>
        <w:shd w:val="clear" w:color="auto" w:fill="FFFFFF"/>
        <w:spacing w:before="0" w:beforeAutospacing="0" w:after="0" w:afterAutospacing="0"/>
        <w:rPr>
          <w:rFonts w:ascii="Century Gothic" w:hAnsi="Century Gothic"/>
          <w:color w:val="1F4E79" w:themeColor="accent5" w:themeShade="80"/>
          <w:kern w:val="28"/>
          <w:sz w:val="32"/>
          <w:szCs w:val="32"/>
          <w:lang w:eastAsia="en-US"/>
        </w:rPr>
      </w:pPr>
      <w:bookmarkStart w:id="1" w:name="_Hlk131316199"/>
      <w:r w:rsidRPr="00CD4C1C">
        <w:rPr>
          <w:rFonts w:ascii="Century Gothic" w:hAnsi="Century Gothic"/>
          <w:color w:val="1F4E79" w:themeColor="accent5" w:themeShade="80"/>
          <w:kern w:val="28"/>
          <w:sz w:val="32"/>
          <w:szCs w:val="32"/>
          <w:lang w:eastAsia="en-US"/>
        </w:rPr>
        <w:t>Regulatory Guidance</w:t>
      </w:r>
    </w:p>
    <w:p w14:paraId="53D5C53B" w14:textId="77777777" w:rsidR="00E7048C" w:rsidRDefault="00E7048C" w:rsidP="00E7048C">
      <w:pPr>
        <w:pStyle w:val="Heading1"/>
        <w:shd w:val="clear" w:color="auto" w:fill="FFFFFF"/>
        <w:spacing w:before="0" w:beforeAutospacing="0" w:after="0" w:afterAutospacing="0"/>
        <w:rPr>
          <w:rFonts w:asciiTheme="majorHAnsi" w:hAnsiTheme="majorHAnsi"/>
          <w:b w:val="0"/>
          <w:bCs w:val="0"/>
          <w:color w:val="auto"/>
          <w:spacing w:val="-3"/>
          <w:kern w:val="28"/>
          <w:sz w:val="24"/>
          <w:szCs w:val="24"/>
          <w:lang w:eastAsia="en-US"/>
        </w:rPr>
      </w:pPr>
    </w:p>
    <w:p w14:paraId="4AFC4C3D" w14:textId="77777777" w:rsidR="00E7048C" w:rsidRDefault="00E7048C" w:rsidP="00E7048C">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r>
        <w:rPr>
          <w:rFonts w:asciiTheme="majorHAnsi" w:hAnsiTheme="majorHAnsi"/>
          <w:color w:val="1F4E79" w:themeColor="accent5" w:themeShade="80"/>
          <w:spacing w:val="-3"/>
          <w:kern w:val="28"/>
          <w:sz w:val="24"/>
          <w:szCs w:val="24"/>
          <w:lang w:eastAsia="en-US"/>
        </w:rPr>
        <w:t>HMRC</w:t>
      </w:r>
    </w:p>
    <w:p w14:paraId="4C0597E7" w14:textId="77777777" w:rsidR="00E7048C" w:rsidRDefault="00E7048C" w:rsidP="00E7048C">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p>
    <w:p w14:paraId="0DA1474C" w14:textId="77777777" w:rsidR="00E7048C" w:rsidRDefault="00E7048C" w:rsidP="00E7048C">
      <w:pPr>
        <w:pStyle w:val="Heading1"/>
        <w:numPr>
          <w:ilvl w:val="0"/>
          <w:numId w:val="63"/>
        </w:numPr>
        <w:shd w:val="clear" w:color="auto" w:fill="FFFFFF"/>
        <w:tabs>
          <w:tab w:val="num" w:pos="360"/>
        </w:tabs>
        <w:spacing w:before="0" w:beforeAutospacing="0" w:after="0" w:afterAutospacing="0"/>
        <w:ind w:left="0" w:firstLine="0"/>
        <w:rPr>
          <w:rStyle w:val="Hyperlink"/>
          <w:rFonts w:asciiTheme="majorHAnsi" w:hAnsiTheme="majorHAnsi"/>
          <w:b w:val="0"/>
          <w:bCs w:val="0"/>
          <w:spacing w:val="-3"/>
          <w:kern w:val="28"/>
          <w:sz w:val="24"/>
          <w:szCs w:val="24"/>
          <w:lang w:eastAsia="en-US"/>
        </w:rPr>
      </w:pPr>
      <w:hyperlink r:id="rId15" w:anchor="complete-a-policy-statement-for-your-business" w:history="1">
        <w:r w:rsidRPr="00EF58D2">
          <w:rPr>
            <w:rStyle w:val="Hyperlink"/>
            <w:rFonts w:asciiTheme="majorHAnsi" w:hAnsiTheme="majorHAnsi"/>
            <w:b w:val="0"/>
            <w:bCs w:val="0"/>
            <w:spacing w:val="-3"/>
            <w:kern w:val="28"/>
            <w:sz w:val="24"/>
            <w:szCs w:val="24"/>
            <w:lang w:eastAsia="en-US"/>
          </w:rPr>
          <w:t>Your responsibilities under money laundering supervision</w:t>
        </w:r>
      </w:hyperlink>
      <w:r>
        <w:rPr>
          <w:rStyle w:val="Hyperlink"/>
          <w:rFonts w:asciiTheme="majorHAnsi" w:hAnsiTheme="majorHAnsi"/>
          <w:b w:val="0"/>
          <w:bCs w:val="0"/>
          <w:spacing w:val="-3"/>
          <w:kern w:val="28"/>
          <w:sz w:val="24"/>
          <w:szCs w:val="24"/>
          <w:lang w:eastAsia="en-US"/>
        </w:rPr>
        <w:t>.</w:t>
      </w:r>
    </w:p>
    <w:p w14:paraId="7F38E1EF" w14:textId="77777777" w:rsidR="00E7048C" w:rsidRDefault="00E7048C" w:rsidP="00E7048C">
      <w:pPr>
        <w:pStyle w:val="Heading1"/>
        <w:shd w:val="clear" w:color="auto" w:fill="FFFFFF"/>
        <w:spacing w:before="0" w:beforeAutospacing="0" w:after="0" w:afterAutospacing="0"/>
        <w:rPr>
          <w:rStyle w:val="Hyperlink"/>
          <w:rFonts w:asciiTheme="majorHAnsi" w:hAnsiTheme="majorHAnsi"/>
          <w:b w:val="0"/>
          <w:bCs w:val="0"/>
          <w:spacing w:val="-3"/>
          <w:kern w:val="28"/>
          <w:sz w:val="24"/>
          <w:szCs w:val="24"/>
          <w:lang w:eastAsia="en-US"/>
        </w:rPr>
      </w:pPr>
    </w:p>
    <w:p w14:paraId="444077EC" w14:textId="77777777" w:rsidR="00E7048C" w:rsidRPr="006037A4" w:rsidRDefault="00E7048C" w:rsidP="00E7048C">
      <w:pPr>
        <w:pStyle w:val="Heading1"/>
        <w:shd w:val="clear" w:color="auto" w:fill="FFFFFF"/>
        <w:spacing w:before="0" w:beforeAutospacing="0" w:after="0" w:afterAutospacing="0"/>
        <w:rPr>
          <w:rFonts w:asciiTheme="majorHAnsi" w:hAnsiTheme="majorHAnsi"/>
          <w:color w:val="1F4E79" w:themeColor="accent5" w:themeShade="80"/>
          <w:spacing w:val="-3"/>
          <w:kern w:val="28"/>
          <w:sz w:val="24"/>
          <w:szCs w:val="24"/>
          <w:lang w:eastAsia="en-US"/>
        </w:rPr>
      </w:pPr>
      <w:r w:rsidRPr="006037A4">
        <w:rPr>
          <w:rFonts w:asciiTheme="majorHAnsi" w:hAnsiTheme="majorHAnsi"/>
          <w:color w:val="1F4E79" w:themeColor="accent5" w:themeShade="80"/>
          <w:spacing w:val="-3"/>
          <w:kern w:val="28"/>
          <w:sz w:val="24"/>
          <w:szCs w:val="24"/>
          <w:lang w:eastAsia="en-US"/>
        </w:rPr>
        <w:t>Ministry of Justice</w:t>
      </w:r>
    </w:p>
    <w:p w14:paraId="78457A5D" w14:textId="77777777" w:rsidR="00E7048C" w:rsidRPr="00945A68" w:rsidRDefault="00E7048C" w:rsidP="00E7048C">
      <w:pPr>
        <w:pStyle w:val="ListParagraph"/>
        <w:numPr>
          <w:ilvl w:val="0"/>
          <w:numId w:val="64"/>
        </w:numPr>
        <w:spacing w:before="100" w:beforeAutospacing="1" w:after="100" w:afterAutospacing="1" w:line="360" w:lineRule="auto"/>
        <w:textAlignment w:val="baseline"/>
        <w:rPr>
          <w:rStyle w:val="Hyperlink"/>
          <w:sz w:val="24"/>
        </w:rPr>
      </w:pPr>
      <w:hyperlink r:id="rId16" w:history="1">
        <w:r w:rsidRPr="00945A68">
          <w:rPr>
            <w:rStyle w:val="Hyperlink"/>
            <w:rFonts w:asciiTheme="majorHAnsi" w:hAnsiTheme="majorHAnsi"/>
            <w:sz w:val="24"/>
            <w:szCs w:val="24"/>
          </w:rPr>
          <w:t>Bribery Act 2010 – Quick Start Guide</w:t>
        </w:r>
      </w:hyperlink>
      <w:r w:rsidRPr="00945A68">
        <w:rPr>
          <w:rStyle w:val="Hyperlink"/>
          <w:rFonts w:asciiTheme="majorHAnsi" w:hAnsiTheme="majorHAnsi"/>
          <w:sz w:val="24"/>
          <w:szCs w:val="24"/>
        </w:rPr>
        <w:t>.</w:t>
      </w:r>
    </w:p>
    <w:p w14:paraId="1C7435A0" w14:textId="77777777" w:rsidR="00E7048C" w:rsidRPr="001E60A2" w:rsidRDefault="00E7048C" w:rsidP="00E7048C">
      <w:pPr>
        <w:spacing w:beforeAutospacing="1" w:afterAutospacing="1" w:line="276" w:lineRule="auto"/>
        <w:textAlignment w:val="baseline"/>
        <w:rPr>
          <w:rFonts w:asciiTheme="majorHAnsi" w:hAnsiTheme="majorHAnsi"/>
          <w:b/>
          <w:bCs/>
          <w:color w:val="1F4E79" w:themeColor="accent5" w:themeShade="80"/>
          <w:szCs w:val="24"/>
        </w:rPr>
      </w:pPr>
      <w:r w:rsidRPr="001E60A2">
        <w:rPr>
          <w:rFonts w:asciiTheme="majorHAnsi" w:hAnsiTheme="majorHAnsi"/>
          <w:b/>
          <w:bCs/>
          <w:color w:val="1F4E79" w:themeColor="accent5" w:themeShade="80"/>
          <w:szCs w:val="24"/>
        </w:rPr>
        <w:t xml:space="preserve">Charity Commission. </w:t>
      </w:r>
    </w:p>
    <w:p w14:paraId="51CBD77D" w14:textId="1AEF9D7C" w:rsidR="00E7048C" w:rsidRPr="00E7048C" w:rsidRDefault="00E7048C" w:rsidP="00E7048C">
      <w:pPr>
        <w:pStyle w:val="ListParagraph"/>
        <w:numPr>
          <w:ilvl w:val="0"/>
          <w:numId w:val="62"/>
        </w:numPr>
        <w:shd w:val="clear" w:color="auto" w:fill="FFFFFF"/>
        <w:rPr>
          <w:rFonts w:asciiTheme="majorHAnsi" w:hAnsiTheme="majorHAnsi"/>
          <w:bCs/>
        </w:rPr>
      </w:pPr>
      <w:hyperlink r:id="rId17" w:history="1">
        <w:r w:rsidRPr="00E7048C">
          <w:rPr>
            <w:rStyle w:val="Hyperlink"/>
            <w:rFonts w:asciiTheme="majorHAnsi" w:eastAsia="Calibri" w:hAnsiTheme="majorHAnsi"/>
            <w:bCs/>
            <w:lang w:val="en-CA" w:eastAsia="en-GB"/>
          </w:rPr>
          <w:t>Fundraising legally and responsibly</w:t>
        </w:r>
      </w:hyperlink>
    </w:p>
    <w:p w14:paraId="1416ABC2" w14:textId="77777777" w:rsidR="00E7048C" w:rsidRPr="00E7048C" w:rsidRDefault="00E7048C" w:rsidP="00E7048C">
      <w:pPr>
        <w:pStyle w:val="ListParagraph"/>
        <w:numPr>
          <w:ilvl w:val="0"/>
          <w:numId w:val="62"/>
        </w:numPr>
        <w:rPr>
          <w:rStyle w:val="Hyperlink"/>
          <w:rFonts w:cstheme="majorHAnsi"/>
          <w:sz w:val="24"/>
          <w:szCs w:val="24"/>
        </w:rPr>
      </w:pPr>
      <w:hyperlink r:id="rId18" w:history="1">
        <w:r w:rsidRPr="00E7048C">
          <w:rPr>
            <w:rStyle w:val="Hyperlink"/>
            <w:rFonts w:asciiTheme="majorHAnsi" w:hAnsiTheme="majorHAnsi" w:cstheme="majorHAnsi"/>
            <w:sz w:val="24"/>
            <w:szCs w:val="24"/>
          </w:rPr>
          <w:t>How to manage risk in your charity</w:t>
        </w:r>
      </w:hyperlink>
    </w:p>
    <w:p w14:paraId="44C7E0AE" w14:textId="77777777" w:rsidR="00E7048C" w:rsidRPr="00E7048C" w:rsidRDefault="00E7048C" w:rsidP="00E7048C">
      <w:pPr>
        <w:pStyle w:val="ListParagraph"/>
        <w:numPr>
          <w:ilvl w:val="0"/>
          <w:numId w:val="62"/>
        </w:numPr>
        <w:rPr>
          <w:rStyle w:val="Hyperlink"/>
          <w:rFonts w:asciiTheme="majorHAnsi" w:hAnsiTheme="majorHAnsi" w:cstheme="majorHAnsi"/>
          <w:sz w:val="24"/>
          <w:szCs w:val="24"/>
        </w:rPr>
      </w:pPr>
      <w:hyperlink r:id="rId19" w:history="1">
        <w:r w:rsidRPr="00E7048C">
          <w:rPr>
            <w:rStyle w:val="Hyperlink"/>
            <w:rFonts w:asciiTheme="majorHAnsi" w:hAnsiTheme="majorHAnsi" w:cstheme="majorHAnsi"/>
            <w:sz w:val="24"/>
            <w:szCs w:val="24"/>
          </w:rPr>
          <w:t>Charities and Risk Management</w:t>
        </w:r>
      </w:hyperlink>
    </w:p>
    <w:p w14:paraId="43035DAF" w14:textId="13486EBD" w:rsidR="00E7048C" w:rsidRPr="00E7048C" w:rsidRDefault="00E7048C" w:rsidP="00E7048C">
      <w:pPr>
        <w:pStyle w:val="ListParagraph"/>
        <w:numPr>
          <w:ilvl w:val="0"/>
          <w:numId w:val="62"/>
        </w:numPr>
        <w:shd w:val="clear" w:color="auto" w:fill="FFFFFF"/>
        <w:rPr>
          <w:rStyle w:val="Hyperlink"/>
          <w:rFonts w:asciiTheme="majorHAnsi" w:hAnsiTheme="majorHAnsi" w:cstheme="majorHAnsi"/>
          <w:sz w:val="24"/>
          <w:szCs w:val="24"/>
        </w:rPr>
      </w:pPr>
      <w:hyperlink r:id="rId20" w:history="1">
        <w:r w:rsidRPr="00E7048C">
          <w:rPr>
            <w:rStyle w:val="Hyperlink"/>
            <w:rFonts w:asciiTheme="majorHAnsi" w:hAnsiTheme="majorHAnsi" w:cstheme="majorHAnsi"/>
            <w:sz w:val="24"/>
            <w:szCs w:val="24"/>
          </w:rPr>
          <w:t>Charities, fraud and financial crime</w:t>
        </w:r>
      </w:hyperlink>
    </w:p>
    <w:p w14:paraId="732DE0AE" w14:textId="77777777" w:rsidR="00E7048C" w:rsidRPr="00E7048C" w:rsidRDefault="00E7048C" w:rsidP="00E7048C">
      <w:pPr>
        <w:pStyle w:val="ListParagraph"/>
        <w:numPr>
          <w:ilvl w:val="0"/>
          <w:numId w:val="62"/>
        </w:numPr>
        <w:rPr>
          <w:rStyle w:val="Hyperlink"/>
          <w:rFonts w:asciiTheme="majorHAnsi" w:hAnsiTheme="majorHAnsi" w:cstheme="majorHAnsi"/>
          <w:sz w:val="24"/>
          <w:szCs w:val="24"/>
        </w:rPr>
      </w:pPr>
      <w:hyperlink r:id="rId21" w:history="1">
        <w:r w:rsidRPr="00E7048C">
          <w:rPr>
            <w:rStyle w:val="Hyperlink"/>
            <w:rFonts w:asciiTheme="majorHAnsi" w:hAnsiTheme="majorHAnsi" w:cstheme="majorHAnsi"/>
            <w:sz w:val="24"/>
            <w:szCs w:val="24"/>
          </w:rPr>
          <w:t>Managing International Risk</w:t>
        </w:r>
      </w:hyperlink>
    </w:p>
    <w:p w14:paraId="421178CF" w14:textId="1DE6ADF3" w:rsidR="00E7048C" w:rsidRPr="00E7048C" w:rsidRDefault="00E7048C" w:rsidP="00E7048C">
      <w:pPr>
        <w:pStyle w:val="ListParagraph"/>
        <w:numPr>
          <w:ilvl w:val="0"/>
          <w:numId w:val="62"/>
        </w:numPr>
        <w:shd w:val="clear" w:color="auto" w:fill="FFFFFF"/>
        <w:rPr>
          <w:rStyle w:val="Hyperlink"/>
          <w:rFonts w:asciiTheme="majorHAnsi" w:hAnsiTheme="majorHAnsi" w:cstheme="majorHAnsi"/>
          <w:sz w:val="24"/>
          <w:szCs w:val="24"/>
        </w:rPr>
      </w:pPr>
      <w:hyperlink r:id="rId22" w:history="1">
        <w:r w:rsidRPr="00E7048C">
          <w:rPr>
            <w:rStyle w:val="Hyperlink"/>
            <w:rFonts w:asciiTheme="majorHAnsi" w:hAnsiTheme="majorHAnsi" w:cstheme="majorHAnsi"/>
            <w:sz w:val="24"/>
            <w:szCs w:val="24"/>
          </w:rPr>
          <w:t>Charities and terrorism</w:t>
        </w:r>
      </w:hyperlink>
    </w:p>
    <w:p w14:paraId="335471F2" w14:textId="5FD3F0E8" w:rsidR="00E7048C" w:rsidRPr="00E7048C" w:rsidRDefault="00E7048C" w:rsidP="00E7048C">
      <w:pPr>
        <w:pStyle w:val="ListParagraph"/>
        <w:numPr>
          <w:ilvl w:val="0"/>
          <w:numId w:val="62"/>
        </w:numPr>
        <w:rPr>
          <w:rStyle w:val="Hyperlink"/>
          <w:rFonts w:asciiTheme="majorHAnsi" w:hAnsiTheme="majorHAnsi" w:cstheme="majorHAnsi"/>
          <w:sz w:val="24"/>
          <w:szCs w:val="24"/>
        </w:rPr>
      </w:pPr>
      <w:hyperlink r:id="rId23" w:history="1">
        <w:r w:rsidRPr="00E7048C">
          <w:rPr>
            <w:rStyle w:val="Hyperlink"/>
            <w:rFonts w:asciiTheme="majorHAnsi" w:hAnsiTheme="majorHAnsi" w:cstheme="majorHAnsi"/>
            <w:sz w:val="24"/>
            <w:szCs w:val="24"/>
          </w:rPr>
          <w:t>Protecting charities from abuse for extremist purposes</w:t>
        </w:r>
      </w:hyperlink>
    </w:p>
    <w:p w14:paraId="49A41519" w14:textId="28581DEE" w:rsidR="00E7048C" w:rsidRPr="00E7048C" w:rsidRDefault="00E7048C" w:rsidP="00E7048C">
      <w:pPr>
        <w:pStyle w:val="ListParagraph"/>
        <w:numPr>
          <w:ilvl w:val="0"/>
          <w:numId w:val="62"/>
        </w:numPr>
        <w:shd w:val="clear" w:color="auto" w:fill="FFFFFF"/>
        <w:rPr>
          <w:rStyle w:val="Hyperlink"/>
          <w:rFonts w:asciiTheme="majorHAnsi" w:hAnsiTheme="majorHAnsi" w:cstheme="majorHAnsi"/>
          <w:sz w:val="24"/>
          <w:szCs w:val="24"/>
        </w:rPr>
      </w:pPr>
      <w:hyperlink r:id="rId24" w:history="1">
        <w:r w:rsidRPr="00E7048C">
          <w:rPr>
            <w:rStyle w:val="Hyperlink"/>
            <w:rFonts w:asciiTheme="majorHAnsi" w:hAnsiTheme="majorHAnsi" w:cstheme="majorHAnsi"/>
            <w:sz w:val="24"/>
            <w:szCs w:val="24"/>
          </w:rPr>
          <w:t>Moving and receiving funds safely</w:t>
        </w:r>
      </w:hyperlink>
    </w:p>
    <w:p w14:paraId="36CA4529" w14:textId="42614344" w:rsidR="00E7048C" w:rsidRPr="00E7048C" w:rsidRDefault="00E7048C" w:rsidP="00E7048C">
      <w:pPr>
        <w:pStyle w:val="ListParagraph"/>
        <w:numPr>
          <w:ilvl w:val="0"/>
          <w:numId w:val="62"/>
        </w:numPr>
        <w:shd w:val="clear" w:color="auto" w:fill="FFFFFF"/>
        <w:rPr>
          <w:rStyle w:val="Hyperlink"/>
          <w:rFonts w:asciiTheme="majorHAnsi" w:hAnsiTheme="majorHAnsi" w:cstheme="majorHAnsi"/>
          <w:sz w:val="24"/>
          <w:szCs w:val="24"/>
        </w:rPr>
      </w:pPr>
      <w:hyperlink r:id="rId25" w:history="1">
        <w:r w:rsidRPr="00E7048C">
          <w:rPr>
            <w:rStyle w:val="Hyperlink"/>
            <w:rFonts w:asciiTheme="majorHAnsi" w:hAnsiTheme="majorHAnsi" w:cstheme="majorHAnsi"/>
            <w:sz w:val="24"/>
            <w:szCs w:val="24"/>
          </w:rPr>
          <w:t>Keeping money safe</w:t>
        </w:r>
      </w:hyperlink>
    </w:p>
    <w:p w14:paraId="313A0E12" w14:textId="0BC7642A" w:rsidR="00E7048C" w:rsidRPr="00433D6F" w:rsidRDefault="00E7048C" w:rsidP="00E7048C">
      <w:pPr>
        <w:pStyle w:val="ListParagraph"/>
        <w:numPr>
          <w:ilvl w:val="0"/>
          <w:numId w:val="62"/>
        </w:numPr>
        <w:spacing w:beforeAutospacing="1" w:afterAutospacing="1"/>
        <w:textAlignment w:val="baseline"/>
        <w:rPr>
          <w:rStyle w:val="Hyperlink"/>
          <w:rFonts w:asciiTheme="majorHAnsi" w:hAnsiTheme="majorHAnsi" w:cstheme="majorHAnsi"/>
          <w:color w:val="auto"/>
          <w:sz w:val="24"/>
          <w:szCs w:val="24"/>
          <w:u w:val="none"/>
        </w:rPr>
      </w:pPr>
      <w:hyperlink r:id="rId26" w:history="1">
        <w:r>
          <w:rPr>
            <w:rStyle w:val="Hyperlink"/>
            <w:rFonts w:asciiTheme="majorHAnsi" w:hAnsiTheme="majorHAnsi" w:cstheme="majorHAnsi"/>
            <w:sz w:val="24"/>
            <w:szCs w:val="24"/>
          </w:rPr>
          <w:t>K</w:t>
        </w:r>
        <w:r w:rsidRPr="003E40A5">
          <w:rPr>
            <w:rStyle w:val="Hyperlink"/>
            <w:rFonts w:asciiTheme="majorHAnsi" w:hAnsiTheme="majorHAnsi" w:cstheme="majorHAnsi"/>
            <w:sz w:val="24"/>
            <w:szCs w:val="24"/>
          </w:rPr>
          <w:t>now your donor key questions</w:t>
        </w:r>
      </w:hyperlink>
      <w:r>
        <w:rPr>
          <w:rStyle w:val="Hyperlink"/>
          <w:rFonts w:asciiTheme="majorHAnsi" w:hAnsiTheme="majorHAnsi" w:cstheme="majorHAnsi"/>
          <w:sz w:val="24"/>
          <w:szCs w:val="24"/>
        </w:rPr>
        <w:t>.</w:t>
      </w:r>
    </w:p>
    <w:p w14:paraId="1B3AA54E" w14:textId="77777777" w:rsidR="00E7048C" w:rsidRPr="00433D6F" w:rsidRDefault="00E7048C" w:rsidP="00E7048C">
      <w:pPr>
        <w:pStyle w:val="ListParagraph"/>
        <w:numPr>
          <w:ilvl w:val="0"/>
          <w:numId w:val="62"/>
        </w:numPr>
        <w:spacing w:before="100" w:beforeAutospacing="1" w:after="100" w:afterAutospacing="1"/>
        <w:textAlignment w:val="baseline"/>
        <w:rPr>
          <w:rFonts w:asciiTheme="majorHAnsi" w:hAnsiTheme="majorHAnsi"/>
          <w:color w:val="auto"/>
          <w:sz w:val="24"/>
          <w:szCs w:val="24"/>
        </w:rPr>
      </w:pPr>
      <w:hyperlink r:id="rId27" w:history="1">
        <w:r w:rsidRPr="00433D6F">
          <w:rPr>
            <w:rStyle w:val="Hyperlink"/>
            <w:rFonts w:asciiTheme="majorHAnsi" w:hAnsiTheme="majorHAnsi"/>
            <w:sz w:val="24"/>
            <w:szCs w:val="24"/>
          </w:rPr>
          <w:t>Know your partner, key issues to think about</w:t>
        </w:r>
      </w:hyperlink>
      <w:r w:rsidRPr="00433D6F">
        <w:rPr>
          <w:rFonts w:asciiTheme="majorHAnsi" w:hAnsiTheme="majorHAnsi"/>
          <w:color w:val="auto"/>
          <w:sz w:val="24"/>
          <w:szCs w:val="24"/>
        </w:rPr>
        <w:t>.</w:t>
      </w:r>
    </w:p>
    <w:p w14:paraId="33E44FDE" w14:textId="77777777" w:rsidR="00E7048C" w:rsidRPr="00DE5029" w:rsidRDefault="00E7048C" w:rsidP="00E7048C">
      <w:pPr>
        <w:pStyle w:val="ListParagraph"/>
        <w:numPr>
          <w:ilvl w:val="0"/>
          <w:numId w:val="62"/>
        </w:numPr>
        <w:spacing w:beforeAutospacing="1" w:afterAutospacing="1"/>
        <w:textAlignment w:val="baseline"/>
        <w:rPr>
          <w:rStyle w:val="Hyperlink"/>
          <w:rFonts w:asciiTheme="majorHAnsi" w:hAnsiTheme="majorHAnsi" w:cstheme="majorHAnsi"/>
          <w:color w:val="auto"/>
          <w:sz w:val="24"/>
          <w:szCs w:val="24"/>
          <w:u w:val="none"/>
        </w:rPr>
      </w:pPr>
      <w:hyperlink r:id="rId28" w:history="1">
        <w:r w:rsidRPr="00B6326F">
          <w:rPr>
            <w:rStyle w:val="Hyperlink"/>
            <w:rFonts w:asciiTheme="majorHAnsi" w:hAnsiTheme="majorHAnsi" w:cstheme="majorHAnsi"/>
            <w:sz w:val="24"/>
            <w:szCs w:val="24"/>
          </w:rPr>
          <w:t>Know you donor – checklist</w:t>
        </w:r>
      </w:hyperlink>
      <w:r>
        <w:rPr>
          <w:rStyle w:val="Hyperlink"/>
          <w:rFonts w:asciiTheme="majorHAnsi" w:hAnsiTheme="majorHAnsi" w:cstheme="majorHAnsi"/>
          <w:sz w:val="24"/>
          <w:szCs w:val="24"/>
        </w:rPr>
        <w:t>.</w:t>
      </w:r>
    </w:p>
    <w:p w14:paraId="58D8C9C5" w14:textId="77777777" w:rsidR="00E7048C" w:rsidRPr="00DE5029" w:rsidRDefault="00E7048C" w:rsidP="00E7048C">
      <w:pPr>
        <w:pStyle w:val="ListParagraph"/>
        <w:numPr>
          <w:ilvl w:val="0"/>
          <w:numId w:val="62"/>
        </w:numPr>
        <w:spacing w:beforeAutospacing="1" w:afterAutospacing="1"/>
        <w:textAlignment w:val="baseline"/>
        <w:rPr>
          <w:rStyle w:val="Hyperlink"/>
          <w:rFonts w:asciiTheme="majorHAnsi" w:hAnsiTheme="majorHAnsi" w:cstheme="majorHAnsi"/>
          <w:color w:val="auto"/>
          <w:sz w:val="24"/>
          <w:szCs w:val="24"/>
          <w:u w:val="none"/>
        </w:rPr>
      </w:pPr>
      <w:hyperlink r:id="rId29" w:history="1">
        <w:r w:rsidRPr="00DE5029">
          <w:rPr>
            <w:rStyle w:val="Hyperlink"/>
            <w:rFonts w:asciiTheme="majorHAnsi" w:hAnsiTheme="majorHAnsi" w:cstheme="majorHAnsi"/>
            <w:sz w:val="24"/>
            <w:szCs w:val="24"/>
          </w:rPr>
          <w:t xml:space="preserve">Protecting </w:t>
        </w:r>
        <w:r>
          <w:rPr>
            <w:rStyle w:val="Hyperlink"/>
            <w:rFonts w:asciiTheme="majorHAnsi" w:hAnsiTheme="majorHAnsi" w:cstheme="majorHAnsi"/>
            <w:sz w:val="24"/>
            <w:szCs w:val="24"/>
          </w:rPr>
          <w:t>c</w:t>
        </w:r>
        <w:r w:rsidRPr="00DE5029">
          <w:rPr>
            <w:rStyle w:val="Hyperlink"/>
            <w:rFonts w:asciiTheme="majorHAnsi" w:hAnsiTheme="majorHAnsi" w:cstheme="majorHAnsi"/>
            <w:sz w:val="24"/>
            <w:szCs w:val="24"/>
          </w:rPr>
          <w:t xml:space="preserve">harities from </w:t>
        </w:r>
        <w:r>
          <w:rPr>
            <w:rStyle w:val="Hyperlink"/>
            <w:rFonts w:asciiTheme="majorHAnsi" w:hAnsiTheme="majorHAnsi" w:cstheme="majorHAnsi"/>
            <w:sz w:val="24"/>
            <w:szCs w:val="24"/>
          </w:rPr>
          <w:t>h</w:t>
        </w:r>
        <w:r w:rsidRPr="00DE5029">
          <w:rPr>
            <w:rStyle w:val="Hyperlink"/>
            <w:rFonts w:asciiTheme="majorHAnsi" w:hAnsiTheme="majorHAnsi" w:cstheme="majorHAnsi"/>
            <w:sz w:val="24"/>
            <w:szCs w:val="24"/>
          </w:rPr>
          <w:t>arm</w:t>
        </w:r>
      </w:hyperlink>
      <w:r w:rsidRPr="00DE5029">
        <w:rPr>
          <w:rStyle w:val="Hyperlink"/>
          <w:rFonts w:asciiTheme="majorHAnsi" w:hAnsiTheme="majorHAnsi" w:cstheme="majorHAnsi"/>
          <w:color w:val="auto"/>
          <w:sz w:val="24"/>
          <w:szCs w:val="24"/>
          <w:u w:val="none"/>
        </w:rPr>
        <w:t xml:space="preserve"> </w:t>
      </w:r>
      <w:r>
        <w:rPr>
          <w:rStyle w:val="Hyperlink"/>
          <w:rFonts w:asciiTheme="majorHAnsi" w:hAnsiTheme="majorHAnsi" w:cstheme="majorHAnsi"/>
          <w:color w:val="auto"/>
          <w:sz w:val="24"/>
          <w:szCs w:val="24"/>
          <w:u w:val="none"/>
        </w:rPr>
        <w:t>–</w:t>
      </w:r>
      <w:r w:rsidRPr="00DE5029">
        <w:rPr>
          <w:rStyle w:val="Hyperlink"/>
          <w:rFonts w:asciiTheme="majorHAnsi" w:hAnsiTheme="majorHAnsi" w:cstheme="majorHAnsi"/>
          <w:color w:val="auto"/>
          <w:sz w:val="24"/>
          <w:szCs w:val="24"/>
          <w:u w:val="none"/>
        </w:rPr>
        <w:t xml:space="preserve"> </w:t>
      </w:r>
      <w:r>
        <w:rPr>
          <w:rStyle w:val="Hyperlink"/>
          <w:rFonts w:asciiTheme="majorHAnsi" w:hAnsiTheme="majorHAnsi" w:cstheme="majorHAnsi"/>
          <w:color w:val="auto"/>
          <w:sz w:val="24"/>
          <w:szCs w:val="24"/>
          <w:u w:val="none"/>
        </w:rPr>
        <w:t xml:space="preserve">compliance toolkit. </w:t>
      </w:r>
    </w:p>
    <w:p w14:paraId="0FC16768" w14:textId="77777777" w:rsidR="00E7048C" w:rsidRPr="003E40A5" w:rsidRDefault="00E7048C" w:rsidP="00E7048C">
      <w:pPr>
        <w:pStyle w:val="ListParagraph"/>
        <w:numPr>
          <w:ilvl w:val="0"/>
          <w:numId w:val="62"/>
        </w:numPr>
        <w:spacing w:beforeAutospacing="1" w:afterAutospacing="1"/>
        <w:textAlignment w:val="baseline"/>
        <w:rPr>
          <w:rFonts w:asciiTheme="majorHAnsi" w:hAnsiTheme="majorHAnsi" w:cstheme="majorHAnsi"/>
          <w:color w:val="auto"/>
          <w:sz w:val="24"/>
          <w:szCs w:val="24"/>
        </w:rPr>
      </w:pPr>
      <w:hyperlink r:id="rId30" w:history="1">
        <w:r>
          <w:rPr>
            <w:rStyle w:val="Hyperlink"/>
            <w:rFonts w:asciiTheme="majorHAnsi" w:hAnsiTheme="majorHAnsi" w:cstheme="majorHAnsi"/>
            <w:sz w:val="24"/>
            <w:szCs w:val="24"/>
          </w:rPr>
          <w:t>A</w:t>
        </w:r>
        <w:r w:rsidRPr="003E40A5">
          <w:rPr>
            <w:rStyle w:val="Hyperlink"/>
            <w:rFonts w:asciiTheme="majorHAnsi" w:hAnsiTheme="majorHAnsi" w:cstheme="majorHAnsi"/>
            <w:sz w:val="24"/>
            <w:szCs w:val="24"/>
          </w:rPr>
          <w:t>dvice on suspect donations</w:t>
        </w:r>
      </w:hyperlink>
      <w:r w:rsidRPr="003E40A5">
        <w:rPr>
          <w:rFonts w:asciiTheme="majorHAnsi" w:hAnsiTheme="majorHAnsi" w:cstheme="majorHAnsi"/>
          <w:color w:val="auto"/>
          <w:sz w:val="24"/>
          <w:szCs w:val="24"/>
        </w:rPr>
        <w:t>.</w:t>
      </w:r>
    </w:p>
    <w:p w14:paraId="09A8B649" w14:textId="77777777" w:rsidR="00E7048C" w:rsidRDefault="00E7048C" w:rsidP="00E7048C">
      <w:pPr>
        <w:pStyle w:val="ListParagraph"/>
        <w:numPr>
          <w:ilvl w:val="0"/>
          <w:numId w:val="62"/>
        </w:numPr>
        <w:spacing w:beforeAutospacing="1" w:afterAutospacing="1"/>
        <w:textAlignment w:val="baseline"/>
        <w:rPr>
          <w:rFonts w:asciiTheme="majorHAnsi" w:hAnsiTheme="majorHAnsi" w:cstheme="majorHAnsi"/>
          <w:color w:val="auto"/>
          <w:sz w:val="24"/>
          <w:szCs w:val="24"/>
        </w:rPr>
      </w:pPr>
      <w:hyperlink r:id="rId31" w:history="1">
        <w:r>
          <w:rPr>
            <w:rStyle w:val="Hyperlink"/>
            <w:rFonts w:asciiTheme="majorHAnsi" w:hAnsiTheme="majorHAnsi" w:cstheme="majorHAnsi"/>
            <w:sz w:val="24"/>
            <w:szCs w:val="24"/>
          </w:rPr>
          <w:t>D</w:t>
        </w:r>
        <w:r w:rsidRPr="00B6326F">
          <w:rPr>
            <w:rStyle w:val="Hyperlink"/>
            <w:rFonts w:asciiTheme="majorHAnsi" w:hAnsiTheme="majorHAnsi" w:cstheme="majorHAnsi"/>
            <w:sz w:val="24"/>
            <w:szCs w:val="24"/>
          </w:rPr>
          <w:t>onations from outside the UK</w:t>
        </w:r>
      </w:hyperlink>
      <w:r>
        <w:rPr>
          <w:rFonts w:asciiTheme="majorHAnsi" w:hAnsiTheme="majorHAnsi" w:cstheme="majorHAnsi"/>
          <w:color w:val="auto"/>
          <w:sz w:val="24"/>
          <w:szCs w:val="24"/>
        </w:rPr>
        <w:t xml:space="preserve">. </w:t>
      </w:r>
    </w:p>
    <w:p w14:paraId="2865B629" w14:textId="77777777" w:rsidR="00E7048C" w:rsidRDefault="00E7048C" w:rsidP="00E7048C">
      <w:pPr>
        <w:pStyle w:val="ListParagraph"/>
        <w:numPr>
          <w:ilvl w:val="0"/>
          <w:numId w:val="62"/>
        </w:numPr>
        <w:spacing w:beforeAutospacing="1" w:afterAutospacing="1"/>
        <w:textAlignment w:val="baseline"/>
        <w:rPr>
          <w:rFonts w:asciiTheme="majorHAnsi" w:hAnsiTheme="majorHAnsi" w:cstheme="majorHAnsi"/>
          <w:color w:val="auto"/>
          <w:sz w:val="24"/>
          <w:szCs w:val="24"/>
        </w:rPr>
      </w:pPr>
      <w:hyperlink r:id="rId32" w:history="1">
        <w:r>
          <w:rPr>
            <w:rStyle w:val="Hyperlink"/>
            <w:rFonts w:asciiTheme="majorHAnsi" w:hAnsiTheme="majorHAnsi" w:cstheme="majorHAnsi"/>
            <w:sz w:val="24"/>
            <w:szCs w:val="24"/>
          </w:rPr>
          <w:t>E</w:t>
        </w:r>
        <w:r w:rsidRPr="00B6326F">
          <w:rPr>
            <w:rStyle w:val="Hyperlink"/>
            <w:rFonts w:asciiTheme="majorHAnsi" w:hAnsiTheme="majorHAnsi" w:cstheme="majorHAnsi"/>
            <w:sz w:val="24"/>
            <w:szCs w:val="24"/>
          </w:rPr>
          <w:t>nd use of funds</w:t>
        </w:r>
      </w:hyperlink>
      <w:r>
        <w:rPr>
          <w:rFonts w:asciiTheme="majorHAnsi" w:hAnsiTheme="majorHAnsi" w:cstheme="majorHAnsi"/>
          <w:color w:val="auto"/>
          <w:sz w:val="24"/>
          <w:szCs w:val="24"/>
        </w:rPr>
        <w:t>.</w:t>
      </w:r>
    </w:p>
    <w:p w14:paraId="6109F9BE" w14:textId="77777777" w:rsidR="00E7048C" w:rsidRDefault="00E7048C" w:rsidP="00E7048C">
      <w:pPr>
        <w:pStyle w:val="ListParagraph"/>
        <w:numPr>
          <w:ilvl w:val="0"/>
          <w:numId w:val="62"/>
        </w:numPr>
        <w:spacing w:beforeAutospacing="1" w:afterAutospacing="1"/>
        <w:textAlignment w:val="baseline"/>
        <w:rPr>
          <w:rFonts w:asciiTheme="majorHAnsi" w:hAnsiTheme="majorHAnsi" w:cstheme="majorHAnsi"/>
          <w:color w:val="auto"/>
          <w:sz w:val="24"/>
          <w:szCs w:val="24"/>
        </w:rPr>
      </w:pPr>
      <w:hyperlink r:id="rId33" w:history="1">
        <w:r w:rsidRPr="00B6326F">
          <w:rPr>
            <w:rStyle w:val="Hyperlink"/>
            <w:rFonts w:asciiTheme="majorHAnsi" w:hAnsiTheme="majorHAnsi" w:cstheme="majorHAnsi"/>
            <w:sz w:val="24"/>
            <w:szCs w:val="24"/>
          </w:rPr>
          <w:t>Designated persons list</w:t>
        </w:r>
      </w:hyperlink>
      <w:r>
        <w:rPr>
          <w:rFonts w:asciiTheme="majorHAnsi" w:hAnsiTheme="majorHAnsi" w:cstheme="majorHAnsi"/>
          <w:color w:val="auto"/>
          <w:sz w:val="24"/>
          <w:szCs w:val="24"/>
        </w:rPr>
        <w:t>.</w:t>
      </w:r>
    </w:p>
    <w:p w14:paraId="56BEC65D" w14:textId="77777777" w:rsidR="00E7048C" w:rsidRPr="001E60A2" w:rsidRDefault="00E7048C" w:rsidP="00E7048C">
      <w:pPr>
        <w:pStyle w:val="ListParagraph"/>
        <w:numPr>
          <w:ilvl w:val="0"/>
          <w:numId w:val="62"/>
        </w:numPr>
        <w:spacing w:beforeAutospacing="1" w:afterAutospacing="1"/>
        <w:textAlignment w:val="baseline"/>
        <w:rPr>
          <w:rStyle w:val="Hyperlink"/>
          <w:rFonts w:asciiTheme="majorHAnsi" w:hAnsiTheme="majorHAnsi" w:cstheme="majorHAnsi"/>
          <w:color w:val="auto"/>
          <w:sz w:val="24"/>
          <w:szCs w:val="24"/>
          <w:u w:val="none"/>
        </w:rPr>
      </w:pPr>
      <w:hyperlink r:id="rId34" w:history="1">
        <w:r w:rsidRPr="00B6326F">
          <w:rPr>
            <w:rStyle w:val="Hyperlink"/>
            <w:rFonts w:asciiTheme="majorHAnsi" w:hAnsiTheme="majorHAnsi" w:cstheme="majorHAnsi"/>
            <w:sz w:val="24"/>
            <w:szCs w:val="24"/>
          </w:rPr>
          <w:t>Tainted donations.</w:t>
        </w:r>
      </w:hyperlink>
    </w:p>
    <w:p w14:paraId="6FCCBD8A" w14:textId="77777777" w:rsidR="00E7048C" w:rsidRPr="001E60A2" w:rsidRDefault="00E7048C" w:rsidP="00E7048C">
      <w:pPr>
        <w:spacing w:beforeAutospacing="1" w:afterAutospacing="1" w:line="276" w:lineRule="auto"/>
        <w:textAlignment w:val="baseline"/>
        <w:rPr>
          <w:rFonts w:asciiTheme="majorHAnsi" w:hAnsiTheme="majorHAnsi"/>
          <w:b/>
          <w:bCs/>
          <w:color w:val="1F4E79" w:themeColor="accent5" w:themeShade="80"/>
          <w:szCs w:val="24"/>
        </w:rPr>
      </w:pPr>
      <w:r>
        <w:rPr>
          <w:rFonts w:asciiTheme="majorHAnsi" w:hAnsiTheme="majorHAnsi"/>
          <w:b/>
          <w:bCs/>
          <w:color w:val="1F4E79" w:themeColor="accent5" w:themeShade="80"/>
          <w:szCs w:val="24"/>
        </w:rPr>
        <w:t>OFSI</w:t>
      </w:r>
    </w:p>
    <w:p w14:paraId="1C905C95" w14:textId="77777777" w:rsidR="00E7048C" w:rsidRPr="00113F15" w:rsidRDefault="00E7048C" w:rsidP="00E7048C">
      <w:pPr>
        <w:pStyle w:val="ListParagraph"/>
        <w:numPr>
          <w:ilvl w:val="0"/>
          <w:numId w:val="62"/>
        </w:numPr>
        <w:spacing w:beforeAutospacing="1" w:afterAutospacing="1"/>
        <w:textAlignment w:val="baseline"/>
        <w:rPr>
          <w:rStyle w:val="Hyperlink"/>
          <w:rFonts w:asciiTheme="majorHAnsi" w:hAnsiTheme="majorHAnsi" w:cstheme="majorHAnsi"/>
          <w:color w:val="auto"/>
          <w:sz w:val="24"/>
          <w:szCs w:val="24"/>
          <w:u w:val="none"/>
        </w:rPr>
      </w:pPr>
      <w:hyperlink r:id="rId35" w:history="1">
        <w:r w:rsidRPr="002B071C">
          <w:rPr>
            <w:rStyle w:val="Hyperlink"/>
            <w:rFonts w:asciiTheme="majorHAnsi" w:hAnsiTheme="majorHAnsi" w:cstheme="majorHAnsi"/>
            <w:sz w:val="24"/>
            <w:szCs w:val="24"/>
          </w:rPr>
          <w:t>OFSI Charity Sector Guidance on Sanctions</w:t>
        </w:r>
      </w:hyperlink>
      <w:r>
        <w:rPr>
          <w:rStyle w:val="Hyperlink"/>
          <w:rFonts w:asciiTheme="majorHAnsi" w:hAnsiTheme="majorHAnsi" w:cstheme="majorHAnsi"/>
          <w:sz w:val="24"/>
          <w:szCs w:val="24"/>
        </w:rPr>
        <w:t>.</w:t>
      </w:r>
    </w:p>
    <w:p w14:paraId="693C86EF" w14:textId="77777777" w:rsidR="00E7048C" w:rsidRPr="009D4452" w:rsidRDefault="00E7048C" w:rsidP="00E7048C">
      <w:pPr>
        <w:pStyle w:val="ListParagraph"/>
        <w:numPr>
          <w:ilvl w:val="0"/>
          <w:numId w:val="62"/>
        </w:numPr>
        <w:spacing w:beforeAutospacing="1" w:afterAutospacing="1"/>
        <w:textAlignment w:val="baseline"/>
        <w:rPr>
          <w:rStyle w:val="Hyperlink"/>
          <w:rFonts w:asciiTheme="majorHAnsi" w:hAnsiTheme="majorHAnsi" w:cstheme="majorHAnsi"/>
          <w:color w:val="auto"/>
          <w:sz w:val="24"/>
          <w:szCs w:val="24"/>
          <w:u w:val="none"/>
        </w:rPr>
      </w:pPr>
      <w:hyperlink r:id="rId36" w:history="1">
        <w:r w:rsidRPr="00113F15">
          <w:rPr>
            <w:rStyle w:val="Hyperlink"/>
            <w:rFonts w:asciiTheme="majorHAnsi" w:hAnsiTheme="majorHAnsi" w:cstheme="majorHAnsi"/>
            <w:sz w:val="24"/>
            <w:szCs w:val="24"/>
          </w:rPr>
          <w:t>UK Sanctions Guidance</w:t>
        </w:r>
      </w:hyperlink>
      <w:r>
        <w:rPr>
          <w:rStyle w:val="Hyperlink"/>
          <w:rFonts w:asciiTheme="majorHAnsi" w:hAnsiTheme="majorHAnsi" w:cstheme="majorHAnsi"/>
          <w:sz w:val="24"/>
          <w:szCs w:val="24"/>
        </w:rPr>
        <w:t>.</w:t>
      </w:r>
    </w:p>
    <w:p w14:paraId="5211719D" w14:textId="77777777" w:rsidR="00E7048C" w:rsidRPr="00F80708" w:rsidRDefault="00E7048C" w:rsidP="00E7048C">
      <w:pPr>
        <w:pStyle w:val="ListParagraph"/>
        <w:numPr>
          <w:ilvl w:val="0"/>
          <w:numId w:val="62"/>
        </w:numPr>
        <w:spacing w:beforeAutospacing="1" w:afterAutospacing="1"/>
        <w:textAlignment w:val="baseline"/>
        <w:rPr>
          <w:rStyle w:val="Hyperlink"/>
          <w:rFonts w:asciiTheme="majorHAnsi" w:hAnsiTheme="majorHAnsi" w:cstheme="majorHAnsi"/>
          <w:color w:val="auto"/>
          <w:sz w:val="24"/>
          <w:szCs w:val="24"/>
          <w:u w:val="none"/>
        </w:rPr>
      </w:pPr>
      <w:hyperlink r:id="rId37" w:history="1">
        <w:r w:rsidRPr="009D4452">
          <w:rPr>
            <w:rStyle w:val="Hyperlink"/>
            <w:rFonts w:asciiTheme="majorHAnsi" w:hAnsiTheme="majorHAnsi" w:cstheme="majorHAnsi"/>
            <w:sz w:val="24"/>
            <w:szCs w:val="24"/>
          </w:rPr>
          <w:t>UK Sanctions L</w:t>
        </w:r>
        <w:r>
          <w:rPr>
            <w:rStyle w:val="Hyperlink"/>
            <w:rFonts w:asciiTheme="majorHAnsi" w:hAnsiTheme="majorHAnsi" w:cstheme="majorHAnsi"/>
            <w:sz w:val="24"/>
            <w:szCs w:val="24"/>
          </w:rPr>
          <w:t>i</w:t>
        </w:r>
        <w:r w:rsidRPr="009D4452">
          <w:rPr>
            <w:rStyle w:val="Hyperlink"/>
            <w:rFonts w:asciiTheme="majorHAnsi" w:hAnsiTheme="majorHAnsi" w:cstheme="majorHAnsi"/>
            <w:sz w:val="24"/>
            <w:szCs w:val="24"/>
          </w:rPr>
          <w:t>st</w:t>
        </w:r>
      </w:hyperlink>
    </w:p>
    <w:p w14:paraId="1073DF6A" w14:textId="2589B1B0" w:rsidR="00955384" w:rsidRPr="00E7048C" w:rsidRDefault="00E7048C" w:rsidP="009574D1">
      <w:pPr>
        <w:pStyle w:val="ListParagraph"/>
        <w:numPr>
          <w:ilvl w:val="0"/>
          <w:numId w:val="62"/>
        </w:numPr>
        <w:shd w:val="clear" w:color="auto" w:fill="FFFFFF"/>
        <w:tabs>
          <w:tab w:val="left" w:pos="9360"/>
          <w:tab w:val="left" w:pos="10800"/>
          <w:tab w:val="left" w:pos="12240"/>
          <w:tab w:val="left" w:pos="13680"/>
        </w:tabs>
        <w:spacing w:beforeAutospacing="1" w:afterAutospacing="1"/>
        <w:textAlignment w:val="baseline"/>
        <w:rPr>
          <w:rFonts w:asciiTheme="majorHAnsi" w:eastAsiaTheme="majorEastAsia" w:hAnsiTheme="majorHAnsi" w:cstheme="majorBidi"/>
          <w:b/>
          <w:bCs/>
          <w:color w:val="auto"/>
          <w:szCs w:val="24"/>
        </w:rPr>
      </w:pPr>
      <w:hyperlink r:id="rId38" w:history="1">
        <w:r w:rsidRPr="00E7048C">
          <w:rPr>
            <w:rStyle w:val="Hyperlink"/>
            <w:rFonts w:asciiTheme="majorHAnsi" w:hAnsiTheme="majorHAnsi" w:cstheme="majorHAnsi"/>
            <w:sz w:val="24"/>
            <w:szCs w:val="24"/>
          </w:rPr>
          <w:t>Advice note</w:t>
        </w:r>
      </w:hyperlink>
      <w:r w:rsidRPr="00E7048C">
        <w:rPr>
          <w:rFonts w:asciiTheme="majorHAnsi" w:hAnsiTheme="majorHAnsi" w:cstheme="majorHAnsi"/>
          <w:color w:val="auto"/>
          <w:sz w:val="24"/>
          <w:szCs w:val="24"/>
        </w:rPr>
        <w:t xml:space="preserve"> - operating within counter-terrorism legislation, counter-terrorism sanctions and export control.</w:t>
      </w:r>
      <w:bookmarkEnd w:id="1"/>
    </w:p>
    <w:p w14:paraId="03DF20FE" w14:textId="77777777" w:rsidR="008229E0" w:rsidRPr="006E4101" w:rsidRDefault="008229E0" w:rsidP="002E2081">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lastRenderedPageBreak/>
        <w:t>Disclaimer</w:t>
      </w:r>
      <w:r>
        <w:rPr>
          <w:rFonts w:ascii="Century Gothic" w:hAnsi="Century Gothic"/>
          <w:color w:val="1F4E79" w:themeColor="accent5" w:themeShade="80"/>
          <w:spacing w:val="-3"/>
          <w:kern w:val="28"/>
          <w:sz w:val="32"/>
          <w:szCs w:val="32"/>
          <w:lang w:eastAsia="en-US"/>
        </w:rPr>
        <w:t xml:space="preserve"> &amp; Legal</w:t>
      </w:r>
    </w:p>
    <w:p w14:paraId="22015E22" w14:textId="77777777" w:rsidR="008229E0" w:rsidRDefault="008229E0"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2984F81F" w14:textId="77777777" w:rsidR="008229E0" w:rsidRDefault="008229E0"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6D2F98D2" w14:textId="77777777" w:rsidR="008229E0" w:rsidRDefault="008229E0"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5606AF24" w14:textId="77777777" w:rsidR="008229E0" w:rsidRDefault="008229E0"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979E5D9" w14:textId="77777777" w:rsidR="008229E0" w:rsidRDefault="008229E0"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47393A5" w14:textId="77777777" w:rsidR="008229E0" w:rsidRDefault="008229E0"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Help Finder. </w:t>
      </w:r>
    </w:p>
    <w:p w14:paraId="79803A91" w14:textId="77777777" w:rsidR="00812816" w:rsidRDefault="00812816"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169ADA1" w14:textId="2D07BB39" w:rsidR="00812816" w:rsidRDefault="00812816" w:rsidP="002E2081">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policy template was partially created using ChatGPT. </w:t>
      </w:r>
    </w:p>
    <w:p w14:paraId="3B656F74" w14:textId="3898F2A8" w:rsidR="009523C3" w:rsidRPr="009523C3" w:rsidRDefault="009523C3" w:rsidP="009523C3">
      <w:pPr>
        <w:spacing w:before="100" w:beforeAutospacing="1" w:after="360"/>
        <w:rPr>
          <w:rFonts w:asciiTheme="majorHAnsi" w:hAnsiTheme="majorHAnsi"/>
          <w:color w:val="auto"/>
          <w:spacing w:val="-3"/>
          <w:szCs w:val="24"/>
        </w:rPr>
      </w:pPr>
      <w:r>
        <w:rPr>
          <w:rFonts w:asciiTheme="majorHAnsi" w:hAnsiTheme="majorHAnsi"/>
          <w:color w:val="auto"/>
          <w:spacing w:val="-3"/>
          <w:szCs w:val="24"/>
        </w:rPr>
        <w:t>Ian</w:t>
      </w:r>
    </w:p>
    <w:p w14:paraId="34A08B11" w14:textId="4CC9C75E" w:rsidR="00802E4A" w:rsidRPr="008343EA" w:rsidRDefault="00802E4A" w:rsidP="00802E4A">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E03E7A4" w14:textId="77777777" w:rsidR="00802E4A" w:rsidRPr="008343EA" w:rsidRDefault="00802E4A" w:rsidP="00802E4A">
      <w:pPr>
        <w:shd w:val="clear" w:color="auto" w:fill="FFFFFF"/>
        <w:rPr>
          <w:rFonts w:ascii="Century Gothic" w:eastAsia="Calibri" w:hAnsi="Century Gothic" w:cs="Calibri"/>
          <w:noProof/>
          <w:color w:val="323E4F"/>
          <w:szCs w:val="24"/>
        </w:rPr>
      </w:pPr>
    </w:p>
    <w:p w14:paraId="4EB6C695" w14:textId="77777777" w:rsidR="00955384" w:rsidRDefault="00802E4A" w:rsidP="00802E4A">
      <w:pPr>
        <w:rPr>
          <w:rFonts w:ascii="Century Gothic" w:eastAsia="Calibri" w:hAnsi="Century Gothic" w:cs="Calibri"/>
          <w:noProof/>
          <w:lang w:eastAsia="en-GB"/>
        </w:rPr>
      </w:pPr>
      <w:r w:rsidRPr="008343EA">
        <w:rPr>
          <w:rFonts w:ascii="Century Gothic" w:eastAsia="Calibri" w:hAnsi="Century Gothic" w:cs="Calibri"/>
          <w:noProof/>
          <w:lang w:eastAsia="en-GB"/>
        </w:rPr>
        <w:t>07595 371 444</w:t>
      </w:r>
    </w:p>
    <w:p w14:paraId="3C93CB30" w14:textId="77777777" w:rsidR="00802E4A" w:rsidRPr="00322C33" w:rsidRDefault="00000000" w:rsidP="00802E4A">
      <w:pPr>
        <w:rPr>
          <w:rStyle w:val="Hyperlink"/>
          <w:rFonts w:ascii="Century Gothic" w:eastAsia="Calibri" w:hAnsi="Century Gothic" w:cs="Calibri"/>
          <w:noProof/>
          <w:color w:val="1F4E79" w:themeColor="accent5" w:themeShade="80"/>
          <w:lang w:eastAsia="en-GB"/>
        </w:rPr>
      </w:pPr>
      <w:hyperlink r:id="rId39" w:history="1">
        <w:r w:rsidR="00802E4A" w:rsidRPr="00322C33">
          <w:rPr>
            <w:rStyle w:val="Hyperlink"/>
            <w:rFonts w:ascii="Century Gothic" w:eastAsia="Calibri" w:hAnsi="Century Gothic" w:cs="Calibri"/>
            <w:noProof/>
            <w:lang w:eastAsia="en-GB"/>
          </w:rPr>
          <w:t>ian@charityexcellence.co.uk</w:t>
        </w:r>
      </w:hyperlink>
    </w:p>
    <w:p w14:paraId="0CE6CBC7" w14:textId="77777777" w:rsidR="00802E4A" w:rsidRPr="00322C33" w:rsidRDefault="00000000" w:rsidP="00802E4A">
      <w:pPr>
        <w:rPr>
          <w:rFonts w:ascii="Century Gothic" w:hAnsi="Century Gothic"/>
          <w:color w:val="1F4E79" w:themeColor="accent5" w:themeShade="80"/>
          <w:u w:val="single"/>
        </w:rPr>
      </w:pPr>
      <w:hyperlink r:id="rId40" w:history="1">
        <w:r w:rsidR="00802E4A" w:rsidRPr="00322C33">
          <w:rPr>
            <w:rStyle w:val="Hyperlink"/>
            <w:rFonts w:ascii="Century Gothic" w:eastAsia="Calibri" w:hAnsi="Century Gothic" w:cs="Calibri"/>
            <w:noProof/>
            <w:lang w:eastAsia="en-GB"/>
          </w:rPr>
          <w:t>www.charityexcellence.co.uk</w:t>
        </w:r>
      </w:hyperlink>
      <w:r w:rsidR="00802E4A" w:rsidRPr="00322C33">
        <w:rPr>
          <w:rStyle w:val="Hyperlink"/>
          <w:rFonts w:ascii="Century Gothic" w:eastAsia="Calibri" w:hAnsi="Century Gothic" w:cs="Calibri"/>
          <w:noProof/>
          <w:color w:val="1F4E79" w:themeColor="accent5" w:themeShade="80"/>
          <w:lang w:eastAsia="en-GB"/>
        </w:rPr>
        <w:t xml:space="preserve">  </w:t>
      </w:r>
      <w:bookmarkEnd w:id="0"/>
    </w:p>
    <w:sectPr w:rsidR="00802E4A" w:rsidRPr="00322C33" w:rsidSect="005F4122">
      <w:headerReference w:type="default" r:id="rId41"/>
      <w:footerReference w:type="default" r:id="rId42"/>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2776" w14:textId="77777777" w:rsidR="005F4122" w:rsidRDefault="005F4122" w:rsidP="007916A8">
      <w:r>
        <w:separator/>
      </w:r>
    </w:p>
  </w:endnote>
  <w:endnote w:type="continuationSeparator" w:id="0">
    <w:p w14:paraId="4697F87B" w14:textId="77777777" w:rsidR="005F4122" w:rsidRDefault="005F4122"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D760" w14:textId="45AEFD15" w:rsidR="008B1704" w:rsidRPr="008B1704" w:rsidRDefault="00000000" w:rsidP="008B1704">
    <w:pPr>
      <w:tabs>
        <w:tab w:val="center" w:pos="4513"/>
        <w:tab w:val="right" w:pos="9026"/>
      </w:tabs>
      <w:jc w:val="center"/>
      <w:rPr>
        <w:rFonts w:asciiTheme="minorHAnsi" w:hAnsiTheme="minorHAnsi" w:cstheme="minorBidi"/>
        <w:sz w:val="22"/>
        <w:szCs w:val="22"/>
      </w:rPr>
    </w:pPr>
    <w:hyperlink r:id="rId1" w:history="1">
      <w:r w:rsidR="008B1704" w:rsidRPr="008B1704">
        <w:rPr>
          <w:rFonts w:asciiTheme="minorHAnsi" w:hAnsiTheme="minorHAnsi" w:cstheme="minorBidi"/>
          <w:color w:val="0563C1" w:themeColor="hyperlink"/>
          <w:sz w:val="22"/>
          <w:szCs w:val="22"/>
          <w:u w:val="single"/>
        </w:rPr>
        <w:t>Charity Excellence</w:t>
      </w:r>
    </w:hyperlink>
    <w:r w:rsidR="008B1704" w:rsidRPr="008B1704">
      <w:rPr>
        <w:rFonts w:asciiTheme="minorHAnsi" w:hAnsiTheme="minorHAnsi" w:cstheme="minorBidi"/>
        <w:sz w:val="22"/>
        <w:szCs w:val="22"/>
      </w:rPr>
      <w:t xml:space="preserve"> a free, one-stop-shop for anything a non-profit needs</w:t>
    </w:r>
    <w:r w:rsidR="00812816">
      <w:rPr>
        <w:rFonts w:asciiTheme="minorHAnsi" w:hAnsiTheme="minorHAnsi" w:cstheme="minorBidi"/>
        <w:sz w:val="22"/>
        <w:szCs w:val="22"/>
      </w:rPr>
      <w:t xml:space="preserve">.  </w:t>
    </w:r>
    <w:r w:rsidR="00812816">
      <w:rPr>
        <w:rFonts w:cs="Calibri Light"/>
        <w:sz w:val="20"/>
        <w:szCs w:val="20"/>
      </w:rPr>
      <w:t xml:space="preserve">Alumna </w:t>
    </w:r>
    <w:r w:rsidR="00812816">
      <w:rPr>
        <w:rFonts w:cs="Calibri Light"/>
        <w:color w:val="0B0C0C"/>
        <w:sz w:val="20"/>
        <w:szCs w:val="20"/>
        <w:shd w:val="clear" w:color="auto" w:fill="FFFFFF"/>
      </w:rPr>
      <w:t>© 2024</w:t>
    </w: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FCD4" w14:textId="77777777" w:rsidR="005F4122" w:rsidRDefault="005F4122" w:rsidP="007916A8">
      <w:r>
        <w:separator/>
      </w:r>
    </w:p>
  </w:footnote>
  <w:footnote w:type="continuationSeparator" w:id="0">
    <w:p w14:paraId="2AD77C91" w14:textId="77777777" w:rsidR="005F4122" w:rsidRDefault="005F4122"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31"/>
    <w:multiLevelType w:val="hybridMultilevel"/>
    <w:tmpl w:val="23F4B98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842F24"/>
    <w:multiLevelType w:val="hybridMultilevel"/>
    <w:tmpl w:val="EFC2A250"/>
    <w:lvl w:ilvl="0" w:tplc="45203658">
      <w:start w:val="1"/>
      <w:numFmt w:val="bullet"/>
      <w:lvlText w:val=""/>
      <w:lvlJc w:val="left"/>
      <w:pPr>
        <w:ind w:left="720" w:hanging="360"/>
      </w:pPr>
      <w:rPr>
        <w:rFonts w:ascii="Symbol" w:hAnsi="Symbol" w:hint="default"/>
      </w:rPr>
    </w:lvl>
    <w:lvl w:ilvl="1" w:tplc="515494B0">
      <w:start w:val="1"/>
      <w:numFmt w:val="bullet"/>
      <w:lvlText w:val="o"/>
      <w:lvlJc w:val="left"/>
      <w:pPr>
        <w:ind w:left="1440" w:hanging="360"/>
      </w:pPr>
      <w:rPr>
        <w:rFonts w:ascii="Courier New" w:hAnsi="Courier New" w:hint="default"/>
      </w:rPr>
    </w:lvl>
    <w:lvl w:ilvl="2" w:tplc="C9008CBE">
      <w:start w:val="1"/>
      <w:numFmt w:val="bullet"/>
      <w:lvlText w:val=""/>
      <w:lvlJc w:val="left"/>
      <w:pPr>
        <w:ind w:left="2160" w:hanging="360"/>
      </w:pPr>
      <w:rPr>
        <w:rFonts w:ascii="Wingdings" w:hAnsi="Wingdings" w:hint="default"/>
      </w:rPr>
    </w:lvl>
    <w:lvl w:ilvl="3" w:tplc="FB7E981C">
      <w:start w:val="1"/>
      <w:numFmt w:val="bullet"/>
      <w:lvlText w:val=""/>
      <w:lvlJc w:val="left"/>
      <w:pPr>
        <w:ind w:left="2880" w:hanging="360"/>
      </w:pPr>
      <w:rPr>
        <w:rFonts w:ascii="Symbol" w:hAnsi="Symbol" w:hint="default"/>
      </w:rPr>
    </w:lvl>
    <w:lvl w:ilvl="4" w:tplc="16C84D2E">
      <w:start w:val="1"/>
      <w:numFmt w:val="bullet"/>
      <w:lvlText w:val="o"/>
      <w:lvlJc w:val="left"/>
      <w:pPr>
        <w:ind w:left="3600" w:hanging="360"/>
      </w:pPr>
      <w:rPr>
        <w:rFonts w:ascii="Courier New" w:hAnsi="Courier New" w:hint="default"/>
      </w:rPr>
    </w:lvl>
    <w:lvl w:ilvl="5" w:tplc="4E28B46C">
      <w:start w:val="1"/>
      <w:numFmt w:val="bullet"/>
      <w:lvlText w:val=""/>
      <w:lvlJc w:val="left"/>
      <w:pPr>
        <w:ind w:left="4320" w:hanging="360"/>
      </w:pPr>
      <w:rPr>
        <w:rFonts w:ascii="Wingdings" w:hAnsi="Wingdings" w:hint="default"/>
      </w:rPr>
    </w:lvl>
    <w:lvl w:ilvl="6" w:tplc="249AB156">
      <w:start w:val="1"/>
      <w:numFmt w:val="bullet"/>
      <w:lvlText w:val=""/>
      <w:lvlJc w:val="left"/>
      <w:pPr>
        <w:ind w:left="5040" w:hanging="360"/>
      </w:pPr>
      <w:rPr>
        <w:rFonts w:ascii="Symbol" w:hAnsi="Symbol" w:hint="default"/>
      </w:rPr>
    </w:lvl>
    <w:lvl w:ilvl="7" w:tplc="E5D4A1CA">
      <w:start w:val="1"/>
      <w:numFmt w:val="bullet"/>
      <w:lvlText w:val="o"/>
      <w:lvlJc w:val="left"/>
      <w:pPr>
        <w:ind w:left="5760" w:hanging="360"/>
      </w:pPr>
      <w:rPr>
        <w:rFonts w:ascii="Courier New" w:hAnsi="Courier New" w:hint="default"/>
      </w:rPr>
    </w:lvl>
    <w:lvl w:ilvl="8" w:tplc="3F62EB56">
      <w:start w:val="1"/>
      <w:numFmt w:val="bullet"/>
      <w:lvlText w:val=""/>
      <w:lvlJc w:val="left"/>
      <w:pPr>
        <w:ind w:left="6480" w:hanging="360"/>
      </w:pPr>
      <w:rPr>
        <w:rFonts w:ascii="Wingdings" w:hAnsi="Wingdings" w:hint="default"/>
      </w:rPr>
    </w:lvl>
  </w:abstractNum>
  <w:abstractNum w:abstractNumId="4"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9C1001"/>
    <w:multiLevelType w:val="hybridMultilevel"/>
    <w:tmpl w:val="C06683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E97A7E"/>
    <w:multiLevelType w:val="hybridMultilevel"/>
    <w:tmpl w:val="14F66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8E17850"/>
    <w:multiLevelType w:val="hybridMultilevel"/>
    <w:tmpl w:val="AA1C64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C47E5C"/>
    <w:multiLevelType w:val="singleLevel"/>
    <w:tmpl w:val="BBF6646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1D02473"/>
    <w:multiLevelType w:val="multilevel"/>
    <w:tmpl w:val="13921F26"/>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225EDD"/>
    <w:multiLevelType w:val="hybridMultilevel"/>
    <w:tmpl w:val="5010E528"/>
    <w:lvl w:ilvl="0" w:tplc="BEBAA138">
      <w:start w:val="1"/>
      <w:numFmt w:val="bullet"/>
      <w:lvlText w:val=""/>
      <w:lvlJc w:val="left"/>
      <w:pPr>
        <w:ind w:left="720" w:hanging="360"/>
      </w:pPr>
      <w:rPr>
        <w:rFonts w:ascii="Symbol" w:hAnsi="Symbol" w:hint="default"/>
      </w:rPr>
    </w:lvl>
    <w:lvl w:ilvl="1" w:tplc="89422340">
      <w:start w:val="1"/>
      <w:numFmt w:val="bullet"/>
      <w:lvlText w:val="o"/>
      <w:lvlJc w:val="left"/>
      <w:pPr>
        <w:ind w:left="1440" w:hanging="360"/>
      </w:pPr>
      <w:rPr>
        <w:rFonts w:ascii="Courier New" w:hAnsi="Courier New" w:hint="default"/>
      </w:rPr>
    </w:lvl>
    <w:lvl w:ilvl="2" w:tplc="A3604D00">
      <w:start w:val="1"/>
      <w:numFmt w:val="bullet"/>
      <w:lvlText w:val=""/>
      <w:lvlJc w:val="left"/>
      <w:pPr>
        <w:ind w:left="2160" w:hanging="360"/>
      </w:pPr>
      <w:rPr>
        <w:rFonts w:ascii="Wingdings" w:hAnsi="Wingdings" w:hint="default"/>
      </w:rPr>
    </w:lvl>
    <w:lvl w:ilvl="3" w:tplc="8ED61F86">
      <w:start w:val="1"/>
      <w:numFmt w:val="bullet"/>
      <w:lvlText w:val=""/>
      <w:lvlJc w:val="left"/>
      <w:pPr>
        <w:ind w:left="2880" w:hanging="360"/>
      </w:pPr>
      <w:rPr>
        <w:rFonts w:ascii="Symbol" w:hAnsi="Symbol" w:hint="default"/>
      </w:rPr>
    </w:lvl>
    <w:lvl w:ilvl="4" w:tplc="D3E0AF2C">
      <w:start w:val="1"/>
      <w:numFmt w:val="bullet"/>
      <w:lvlText w:val="o"/>
      <w:lvlJc w:val="left"/>
      <w:pPr>
        <w:ind w:left="3600" w:hanging="360"/>
      </w:pPr>
      <w:rPr>
        <w:rFonts w:ascii="Courier New" w:hAnsi="Courier New" w:hint="default"/>
      </w:rPr>
    </w:lvl>
    <w:lvl w:ilvl="5" w:tplc="CCAC7696">
      <w:start w:val="1"/>
      <w:numFmt w:val="bullet"/>
      <w:lvlText w:val=""/>
      <w:lvlJc w:val="left"/>
      <w:pPr>
        <w:ind w:left="4320" w:hanging="360"/>
      </w:pPr>
      <w:rPr>
        <w:rFonts w:ascii="Wingdings" w:hAnsi="Wingdings" w:hint="default"/>
      </w:rPr>
    </w:lvl>
    <w:lvl w:ilvl="6" w:tplc="FD30D2E6">
      <w:start w:val="1"/>
      <w:numFmt w:val="bullet"/>
      <w:lvlText w:val=""/>
      <w:lvlJc w:val="left"/>
      <w:pPr>
        <w:ind w:left="5040" w:hanging="360"/>
      </w:pPr>
      <w:rPr>
        <w:rFonts w:ascii="Symbol" w:hAnsi="Symbol" w:hint="default"/>
      </w:rPr>
    </w:lvl>
    <w:lvl w:ilvl="7" w:tplc="3A10E0A6">
      <w:start w:val="1"/>
      <w:numFmt w:val="bullet"/>
      <w:lvlText w:val="o"/>
      <w:lvlJc w:val="left"/>
      <w:pPr>
        <w:ind w:left="5760" w:hanging="360"/>
      </w:pPr>
      <w:rPr>
        <w:rFonts w:ascii="Courier New" w:hAnsi="Courier New" w:hint="default"/>
      </w:rPr>
    </w:lvl>
    <w:lvl w:ilvl="8" w:tplc="EA58B606">
      <w:start w:val="1"/>
      <w:numFmt w:val="bullet"/>
      <w:lvlText w:val=""/>
      <w:lvlJc w:val="left"/>
      <w:pPr>
        <w:ind w:left="6480" w:hanging="360"/>
      </w:pPr>
      <w:rPr>
        <w:rFonts w:ascii="Wingdings" w:hAnsi="Wingdings" w:hint="default"/>
      </w:rPr>
    </w:lvl>
  </w:abstractNum>
  <w:abstractNum w:abstractNumId="24"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D83BAF"/>
    <w:multiLevelType w:val="hybridMultilevel"/>
    <w:tmpl w:val="F5C2B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C050D7"/>
    <w:multiLevelType w:val="hybridMultilevel"/>
    <w:tmpl w:val="39F858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6177F6"/>
    <w:multiLevelType w:val="hybridMultilevel"/>
    <w:tmpl w:val="10EEF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885815"/>
    <w:multiLevelType w:val="hybridMultilevel"/>
    <w:tmpl w:val="F04E82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1B4D88"/>
    <w:multiLevelType w:val="hybridMultilevel"/>
    <w:tmpl w:val="34A4C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581E4B2C"/>
    <w:multiLevelType w:val="hybridMultilevel"/>
    <w:tmpl w:val="516E8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8A15DDD"/>
    <w:multiLevelType w:val="hybridMultilevel"/>
    <w:tmpl w:val="5C905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0293E2C"/>
    <w:multiLevelType w:val="hybridMultilevel"/>
    <w:tmpl w:val="C86A0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33367DC"/>
    <w:multiLevelType w:val="hybridMultilevel"/>
    <w:tmpl w:val="9956E7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91C2A0A"/>
    <w:multiLevelType w:val="hybridMultilevel"/>
    <w:tmpl w:val="DBD05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CC367F"/>
    <w:multiLevelType w:val="hybridMultilevel"/>
    <w:tmpl w:val="E946A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ED912F2"/>
    <w:multiLevelType w:val="hybridMultilevel"/>
    <w:tmpl w:val="F064F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740162">
    <w:abstractNumId w:val="3"/>
  </w:num>
  <w:num w:numId="2" w16cid:durableId="313460090">
    <w:abstractNumId w:val="23"/>
  </w:num>
  <w:num w:numId="3" w16cid:durableId="2136285670">
    <w:abstractNumId w:val="27"/>
  </w:num>
  <w:num w:numId="4" w16cid:durableId="1934704107">
    <w:abstractNumId w:val="56"/>
  </w:num>
  <w:num w:numId="5" w16cid:durableId="1181578704">
    <w:abstractNumId w:val="25"/>
  </w:num>
  <w:num w:numId="6" w16cid:durableId="1331635257">
    <w:abstractNumId w:val="37"/>
  </w:num>
  <w:num w:numId="7" w16cid:durableId="1468814416">
    <w:abstractNumId w:val="26"/>
  </w:num>
  <w:num w:numId="8" w16cid:durableId="251549325">
    <w:abstractNumId w:val="52"/>
  </w:num>
  <w:num w:numId="9" w16cid:durableId="200899761">
    <w:abstractNumId w:val="29"/>
  </w:num>
  <w:num w:numId="10" w16cid:durableId="1878393269">
    <w:abstractNumId w:val="46"/>
  </w:num>
  <w:num w:numId="11" w16cid:durableId="1660575661">
    <w:abstractNumId w:val="47"/>
  </w:num>
  <w:num w:numId="12" w16cid:durableId="1818834001">
    <w:abstractNumId w:val="5"/>
  </w:num>
  <w:num w:numId="13" w16cid:durableId="1129516877">
    <w:abstractNumId w:val="20"/>
  </w:num>
  <w:num w:numId="14" w16cid:durableId="1410618880">
    <w:abstractNumId w:val="53"/>
  </w:num>
  <w:num w:numId="15" w16cid:durableId="35665379">
    <w:abstractNumId w:val="30"/>
  </w:num>
  <w:num w:numId="16" w16cid:durableId="1400519321">
    <w:abstractNumId w:val="10"/>
  </w:num>
  <w:num w:numId="17" w16cid:durableId="329256783">
    <w:abstractNumId w:val="2"/>
  </w:num>
  <w:num w:numId="18" w16cid:durableId="592589935">
    <w:abstractNumId w:val="59"/>
  </w:num>
  <w:num w:numId="19" w16cid:durableId="447940408">
    <w:abstractNumId w:val="62"/>
  </w:num>
  <w:num w:numId="20" w16cid:durableId="1446847769">
    <w:abstractNumId w:val="33"/>
  </w:num>
  <w:num w:numId="21" w16cid:durableId="188759473">
    <w:abstractNumId w:val="61"/>
  </w:num>
  <w:num w:numId="22" w16cid:durableId="2033334681">
    <w:abstractNumId w:val="38"/>
  </w:num>
  <w:num w:numId="23" w16cid:durableId="1774353327">
    <w:abstractNumId w:val="4"/>
  </w:num>
  <w:num w:numId="24" w16cid:durableId="822938562">
    <w:abstractNumId w:val="15"/>
  </w:num>
  <w:num w:numId="25" w16cid:durableId="1371296527">
    <w:abstractNumId w:val="39"/>
  </w:num>
  <w:num w:numId="26" w16cid:durableId="1424302577">
    <w:abstractNumId w:val="54"/>
  </w:num>
  <w:num w:numId="27" w16cid:durableId="922884472">
    <w:abstractNumId w:val="35"/>
  </w:num>
  <w:num w:numId="28" w16cid:durableId="171378338">
    <w:abstractNumId w:val="16"/>
  </w:num>
  <w:num w:numId="29" w16cid:durableId="1223326248">
    <w:abstractNumId w:val="8"/>
  </w:num>
  <w:num w:numId="30" w16cid:durableId="404106874">
    <w:abstractNumId w:val="6"/>
  </w:num>
  <w:num w:numId="31" w16cid:durableId="862744642">
    <w:abstractNumId w:val="48"/>
  </w:num>
  <w:num w:numId="32" w16cid:durableId="70740090">
    <w:abstractNumId w:val="40"/>
  </w:num>
  <w:num w:numId="33" w16cid:durableId="673843271">
    <w:abstractNumId w:val="25"/>
  </w:num>
  <w:num w:numId="34" w16cid:durableId="1425884309">
    <w:abstractNumId w:val="18"/>
  </w:num>
  <w:num w:numId="35" w16cid:durableId="1283994821">
    <w:abstractNumId w:val="11"/>
  </w:num>
  <w:num w:numId="36" w16cid:durableId="1686247198">
    <w:abstractNumId w:val="42"/>
  </w:num>
  <w:num w:numId="37" w16cid:durableId="147988612">
    <w:abstractNumId w:val="55"/>
  </w:num>
  <w:num w:numId="38" w16cid:durableId="1224760112">
    <w:abstractNumId w:val="12"/>
  </w:num>
  <w:num w:numId="39" w16cid:durableId="680551251">
    <w:abstractNumId w:val="14"/>
  </w:num>
  <w:num w:numId="40" w16cid:durableId="1060445289">
    <w:abstractNumId w:val="9"/>
  </w:num>
  <w:num w:numId="41" w16cid:durableId="1610359512">
    <w:abstractNumId w:val="1"/>
  </w:num>
  <w:num w:numId="42" w16cid:durableId="911046048">
    <w:abstractNumId w:val="43"/>
  </w:num>
  <w:num w:numId="43" w16cid:durableId="1617173273">
    <w:abstractNumId w:val="13"/>
  </w:num>
  <w:num w:numId="44" w16cid:durableId="779420974">
    <w:abstractNumId w:val="34"/>
  </w:num>
  <w:num w:numId="45" w16cid:durableId="849753665">
    <w:abstractNumId w:val="57"/>
  </w:num>
  <w:num w:numId="46" w16cid:durableId="336812507">
    <w:abstractNumId w:val="24"/>
  </w:num>
  <w:num w:numId="47" w16cid:durableId="402146827">
    <w:abstractNumId w:val="50"/>
  </w:num>
  <w:num w:numId="48" w16cid:durableId="742024560">
    <w:abstractNumId w:val="31"/>
  </w:num>
  <w:num w:numId="49" w16cid:durableId="1265461881">
    <w:abstractNumId w:val="51"/>
  </w:num>
  <w:num w:numId="50" w16cid:durableId="926963512">
    <w:abstractNumId w:val="36"/>
  </w:num>
  <w:num w:numId="51" w16cid:durableId="732629275">
    <w:abstractNumId w:val="60"/>
  </w:num>
  <w:num w:numId="52" w16cid:durableId="1580677769">
    <w:abstractNumId w:val="41"/>
  </w:num>
  <w:num w:numId="53" w16cid:durableId="1921285150">
    <w:abstractNumId w:val="45"/>
  </w:num>
  <w:num w:numId="54" w16cid:durableId="308677147">
    <w:abstractNumId w:val="44"/>
  </w:num>
  <w:num w:numId="55" w16cid:durableId="434447818">
    <w:abstractNumId w:val="49"/>
  </w:num>
  <w:num w:numId="56" w16cid:durableId="1368019692">
    <w:abstractNumId w:val="0"/>
  </w:num>
  <w:num w:numId="57" w16cid:durableId="1714184926">
    <w:abstractNumId w:val="19"/>
  </w:num>
  <w:num w:numId="58" w16cid:durableId="894007086">
    <w:abstractNumId w:val="58"/>
  </w:num>
  <w:num w:numId="59" w16cid:durableId="509491459">
    <w:abstractNumId w:val="22"/>
  </w:num>
  <w:num w:numId="60" w16cid:durableId="865367751">
    <w:abstractNumId w:val="21"/>
  </w:num>
  <w:num w:numId="61" w16cid:durableId="1769501613">
    <w:abstractNumId w:val="32"/>
  </w:num>
  <w:num w:numId="62" w16cid:durableId="162936118">
    <w:abstractNumId w:val="7"/>
  </w:num>
  <w:num w:numId="63" w16cid:durableId="903027630">
    <w:abstractNumId w:val="17"/>
  </w:num>
  <w:num w:numId="64" w16cid:durableId="94072115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84E95"/>
    <w:rsid w:val="00085CE6"/>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E0F22"/>
    <w:rsid w:val="002E2081"/>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44D2"/>
    <w:rsid w:val="00365E7B"/>
    <w:rsid w:val="00370CC2"/>
    <w:rsid w:val="00372F3A"/>
    <w:rsid w:val="00380E54"/>
    <w:rsid w:val="00383A84"/>
    <w:rsid w:val="00384E83"/>
    <w:rsid w:val="00391A85"/>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5F94"/>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5F4122"/>
    <w:rsid w:val="00603716"/>
    <w:rsid w:val="00603C80"/>
    <w:rsid w:val="006071B9"/>
    <w:rsid w:val="0061039D"/>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5C42"/>
    <w:rsid w:val="006B53C3"/>
    <w:rsid w:val="006B6512"/>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16"/>
    <w:rsid w:val="008128D4"/>
    <w:rsid w:val="008145C6"/>
    <w:rsid w:val="0081554D"/>
    <w:rsid w:val="008166C6"/>
    <w:rsid w:val="00817109"/>
    <w:rsid w:val="008229E0"/>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E77"/>
    <w:rsid w:val="008C3D5D"/>
    <w:rsid w:val="008C63C0"/>
    <w:rsid w:val="008D0D96"/>
    <w:rsid w:val="008D2D71"/>
    <w:rsid w:val="008D5359"/>
    <w:rsid w:val="008D57C6"/>
    <w:rsid w:val="008D707C"/>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487A"/>
    <w:rsid w:val="00A443B5"/>
    <w:rsid w:val="00A44F38"/>
    <w:rsid w:val="00A504C9"/>
    <w:rsid w:val="00A556A2"/>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D22FB"/>
    <w:rsid w:val="00BD2AE8"/>
    <w:rsid w:val="00BD3904"/>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D5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3805"/>
    <w:rsid w:val="00DA413B"/>
    <w:rsid w:val="00DB1F3F"/>
    <w:rsid w:val="00DB4BDF"/>
    <w:rsid w:val="00DB5E7B"/>
    <w:rsid w:val="00DC07D8"/>
    <w:rsid w:val="00DC0B2B"/>
    <w:rsid w:val="00DC1865"/>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048C"/>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3DD5"/>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88621900">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fg.org.uk/resources/Publications/cfg-publications.aspx" TargetMode="External"/><Relationship Id="rId18" Type="http://schemas.openxmlformats.org/officeDocument/2006/relationships/hyperlink" Target="https://www.gov.uk/guidance/how-to-manage-risks-in-your-charity" TargetMode="External"/><Relationship Id="rId26" Type="http://schemas.openxmlformats.org/officeDocument/2006/relationships/hyperlink" Target="https://assets.publishing.service.gov.uk/government/uploads/system/uploads/attachment_data/file/550694/Tool_6.pdf" TargetMode="External"/><Relationship Id="rId39" Type="http://schemas.openxmlformats.org/officeDocument/2006/relationships/hyperlink" Target="mailto:ian@charityexcellence.co.uk" TargetMode="External"/><Relationship Id="rId21" Type="http://schemas.openxmlformats.org/officeDocument/2006/relationships/hyperlink" Target="https://www.gov.uk/guidance/charities-how-to-manage-risks-when-working-internationally" TargetMode="External"/><Relationship Id="rId34" Type="http://schemas.openxmlformats.org/officeDocument/2006/relationships/hyperlink" Target="https://www.gov.uk/government/publications/charities-detailed-guidance-notes/annex-viii-tainted-charity-donation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ustice.gov.uk/downloads/legislation/bribery-act-2010-quick-start-guide.pdf" TargetMode="External"/><Relationship Id="rId20" Type="http://schemas.openxmlformats.org/officeDocument/2006/relationships/hyperlink" Target="https://www.gov.uk/government/publications/charities-fraud-and-financial-crime" TargetMode="External"/><Relationship Id="rId29" Type="http://schemas.openxmlformats.org/officeDocument/2006/relationships/hyperlink" Target="https://www.gov.uk/government/collections/protecting-charities-from-harm-compliance-toolki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fg.org.uk/Policy/finance-and-accounting/~/media/Files/Resources/CFDG%20Publications/charity_fraud_guide_full.ashx" TargetMode="External"/><Relationship Id="rId24" Type="http://schemas.openxmlformats.org/officeDocument/2006/relationships/hyperlink" Target="https://www.gov.uk/government/publications/charities-holding-moving-and-receiving-funds-safely" TargetMode="External"/><Relationship Id="rId32" Type="http://schemas.openxmlformats.org/officeDocument/2006/relationships/hyperlink" Target="https://www.gov.uk/government/publications/charities-due-diligence-checks-and-monitoring-end-use-of-funds" TargetMode="External"/><Relationship Id="rId37" Type="http://schemas.openxmlformats.org/officeDocument/2006/relationships/hyperlink" Target="https://www.gov.uk/government/publications/the-uk-sanctions-list" TargetMode="External"/><Relationship Id="rId40" Type="http://schemas.openxmlformats.org/officeDocument/2006/relationships/hyperlink" Target="http://www.charityexcellence.co.uk" TargetMode="External"/><Relationship Id="rId5" Type="http://schemas.openxmlformats.org/officeDocument/2006/relationships/webSettings" Target="webSettings.xml"/><Relationship Id="rId15" Type="http://schemas.openxmlformats.org/officeDocument/2006/relationships/hyperlink" Target="https://www.gov.uk/guidance/money-laundering-regulations-your-responsibilities" TargetMode="External"/><Relationship Id="rId23" Type="http://schemas.openxmlformats.org/officeDocument/2006/relationships/hyperlink" Target="https://www.gov.uk/government/publications/protecting-charities-from-abuse-for-extremist-purposes" TargetMode="External"/><Relationship Id="rId28" Type="http://schemas.openxmlformats.org/officeDocument/2006/relationships/hyperlink" Target="https://assets.publishing.service.gov.uk/government/uploads/system/uploads/attachment_data/file/550698/Tool_9.pdf" TargetMode="External"/><Relationship Id="rId36" Type="http://schemas.openxmlformats.org/officeDocument/2006/relationships/hyperlink" Target="https://www.gov.uk/government/publications/financial-sanctions-faqs" TargetMode="External"/><Relationship Id="rId10" Type="http://schemas.openxmlformats.org/officeDocument/2006/relationships/hyperlink" Target="http://www.hse.gov.uk/voluntary/manage-low-risk.htm" TargetMode="External"/><Relationship Id="rId19" Type="http://schemas.openxmlformats.org/officeDocument/2006/relationships/hyperlink" Target="https://www.gov.uk/government/publications/charities-and-risk-management-cc26" TargetMode="External"/><Relationship Id="rId31" Type="http://schemas.openxmlformats.org/officeDocument/2006/relationships/hyperlink" Target="https://www.gov.uk/government/uploads/system/uploads/attachment_data/file/571773/Chapter4_Tool2.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haritygovernancecode.org/en/4-decision-making" TargetMode="External"/><Relationship Id="rId14" Type="http://schemas.openxmlformats.org/officeDocument/2006/relationships/hyperlink" Target="https://www.gov.uk/data-protection" TargetMode="External"/><Relationship Id="rId22" Type="http://schemas.openxmlformats.org/officeDocument/2006/relationships/hyperlink" Target="https://www.gov.uk/government/publications/charities-and-terrorism" TargetMode="External"/><Relationship Id="rId27" Type="http://schemas.openxmlformats.org/officeDocument/2006/relationships/hyperlink" Target="https://assets.publishing.service.gov.uk/government/uploads/system/uploads/attachment_data/file/550697/Tool_8.pdf" TargetMode="External"/><Relationship Id="rId30" Type="http://schemas.openxmlformats.org/officeDocument/2006/relationships/hyperlink" Target="https://www.gov.uk/government/news/be-aware-of-suspect-donations-advice-for-charities" TargetMode="External"/><Relationship Id="rId35" Type="http://schemas.openxmlformats.org/officeDocument/2006/relationships/hyperlink" Target="https://assets.publishing.service.gov.uk/government/uploads/system/uploads/attachment_data/file/1051076/Charity_Guidance-_Jan_2022_.pdf" TargetMode="External"/><Relationship Id="rId43" Type="http://schemas.openxmlformats.org/officeDocument/2006/relationships/fontTable" Target="fontTable.xml"/><Relationship Id="rId8" Type="http://schemas.openxmlformats.org/officeDocument/2006/relationships/hyperlink" Target="https://www.gov.uk/government/publications/charities-and-risk-management-cc26" TargetMode="External"/><Relationship Id="rId3" Type="http://schemas.openxmlformats.org/officeDocument/2006/relationships/styles" Target="styles.xml"/><Relationship Id="rId12" Type="http://schemas.openxmlformats.org/officeDocument/2006/relationships/hyperlink" Target="http://www.icaew.com/en/technical/finance-and-management-faculty/risk-management" TargetMode="External"/><Relationship Id="rId17" Type="http://schemas.openxmlformats.org/officeDocument/2006/relationships/hyperlink" Target="https://www.gov.uk/guidance/fundraising-legally-and-responsibly" TargetMode="External"/><Relationship Id="rId25" Type="http://schemas.openxmlformats.org/officeDocument/2006/relationships/hyperlink" Target="https://www.gov.uk/guidance/charity-money-how-to-keep-it-safe" TargetMode="External"/><Relationship Id="rId33" Type="http://schemas.openxmlformats.org/officeDocument/2006/relationships/hyperlink" Target="https://www.gov.uk/government/publications/current-list-of-designated-persons-terrorism-and-terrorist-financing" TargetMode="External"/><Relationship Id="rId38" Type="http://schemas.openxmlformats.org/officeDocument/2006/relationships/hyperlink" Target="https://www.gov.uk/government/publications/operating-within-counter-terrorism-legislation/for-information-note-operating-within-counter-terrorism-legisl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4</cp:revision>
  <cp:lastPrinted>2023-03-02T08:46:00Z</cp:lastPrinted>
  <dcterms:created xsi:type="dcterms:W3CDTF">2024-01-05T16:24:00Z</dcterms:created>
  <dcterms:modified xsi:type="dcterms:W3CDTF">2024-01-21T10:31:00Z</dcterms:modified>
</cp:coreProperties>
</file>