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3A978585" w:rsidR="001832CF" w:rsidRDefault="00277334" w:rsidP="00277334">
      <w:pPr>
        <w:pStyle w:val="Alumna"/>
        <w:rPr>
          <w:rFonts w:ascii="Arial" w:eastAsia="Arial" w:hAnsi="Arial" w:cs="Arial"/>
          <w:color w:val="4D5156"/>
          <w:sz w:val="21"/>
          <w:szCs w:val="21"/>
          <w:lang w:val="en-GB"/>
        </w:rPr>
      </w:pPr>
      <w:r>
        <w:rPr>
          <w:b/>
          <w:bCs/>
          <w:color w:val="1F4E79" w:themeColor="accent5" w:themeShade="80"/>
          <w:spacing w:val="0"/>
          <w:kern w:val="0"/>
        </w:rPr>
        <w:t>Serious Incident Reporting Policy</w:t>
      </w:r>
    </w:p>
    <w:p w14:paraId="4FEDE7A9" w14:textId="26897AFD" w:rsidR="00A275CA" w:rsidRPr="00A275CA" w:rsidRDefault="00A275CA" w:rsidP="002D4423">
      <w:pPr>
        <w:spacing w:line="276" w:lineRule="auto"/>
        <w:rPr>
          <w:rFonts w:asciiTheme="majorHAnsi" w:eastAsiaTheme="majorEastAsia" w:hAnsiTheme="majorHAnsi"/>
          <w:color w:val="auto"/>
          <w:szCs w:val="24"/>
        </w:rPr>
      </w:pPr>
      <w:bookmarkStart w:id="0" w:name="_Hlk39645958"/>
      <w:r w:rsidRPr="00A275CA">
        <w:rPr>
          <w:rFonts w:asciiTheme="majorHAnsi" w:eastAsiaTheme="majorEastAsia" w:hAnsiTheme="majorHAnsi"/>
          <w:color w:val="auto"/>
          <w:szCs w:val="24"/>
        </w:rPr>
        <w:t xml:space="preserve">I cannot write a policy for all circumstances or all activities or jurisdictions.  This generic policy contains the components you would expect with areas where you </w:t>
      </w:r>
      <w:r w:rsidR="00570BDB">
        <w:rPr>
          <w:rFonts w:asciiTheme="majorHAnsi" w:eastAsiaTheme="majorEastAsia" w:hAnsiTheme="majorHAnsi"/>
          <w:color w:val="auto"/>
          <w:szCs w:val="24"/>
        </w:rPr>
        <w:t xml:space="preserve">must </w:t>
      </w:r>
      <w:r w:rsidRPr="00A275CA">
        <w:rPr>
          <w:rFonts w:asciiTheme="majorHAnsi" w:eastAsiaTheme="majorEastAsia" w:hAnsiTheme="majorHAnsi"/>
          <w:color w:val="auto"/>
          <w:szCs w:val="24"/>
        </w:rPr>
        <w:t xml:space="preserve">make decisions in </w:t>
      </w:r>
      <w:r w:rsidRPr="00A275CA">
        <w:rPr>
          <w:rFonts w:asciiTheme="majorHAnsi" w:eastAsiaTheme="majorEastAsia" w:hAnsiTheme="majorHAnsi"/>
          <w:color w:val="auto"/>
          <w:szCs w:val="24"/>
          <w:highlight w:val="yellow"/>
        </w:rPr>
        <w:t>yellow</w:t>
      </w:r>
      <w:r w:rsidRPr="00A275CA">
        <w:rPr>
          <w:rFonts w:asciiTheme="majorHAnsi" w:eastAsiaTheme="majorEastAsia" w:hAnsiTheme="majorHAnsi"/>
          <w:color w:val="auto"/>
          <w:szCs w:val="24"/>
        </w:rPr>
        <w:t>.</w:t>
      </w:r>
    </w:p>
    <w:p w14:paraId="7F6FCB96" w14:textId="77777777" w:rsidR="00A275CA" w:rsidRDefault="00A275CA" w:rsidP="002D4423">
      <w:pPr>
        <w:spacing w:line="276" w:lineRule="auto"/>
        <w:rPr>
          <w:rFonts w:ascii="Century Gothic" w:eastAsiaTheme="majorEastAsia" w:hAnsi="Century Gothic"/>
          <w:b/>
          <w:bCs/>
          <w:color w:val="1F4E79" w:themeColor="accent5" w:themeShade="80"/>
          <w:sz w:val="32"/>
          <w:szCs w:val="32"/>
        </w:rPr>
      </w:pPr>
    </w:p>
    <w:p w14:paraId="4105672D" w14:textId="2B009201" w:rsidR="00277334" w:rsidRPr="003F76FE" w:rsidRDefault="00277334" w:rsidP="002D4423">
      <w:pPr>
        <w:spacing w:line="276" w:lineRule="auto"/>
        <w:rPr>
          <w:rFonts w:ascii="Century Gothic" w:eastAsiaTheme="majorEastAsia" w:hAnsi="Century Gothic"/>
          <w:b/>
          <w:bCs/>
          <w:color w:val="1F4E79" w:themeColor="accent5" w:themeShade="80"/>
          <w:sz w:val="32"/>
          <w:szCs w:val="32"/>
        </w:rPr>
      </w:pPr>
      <w:r w:rsidRPr="003F76FE">
        <w:rPr>
          <w:rFonts w:ascii="Century Gothic" w:eastAsiaTheme="majorEastAsia" w:hAnsi="Century Gothic"/>
          <w:b/>
          <w:bCs/>
          <w:color w:val="1F4E79" w:themeColor="accent5" w:themeShade="80"/>
          <w:sz w:val="32"/>
          <w:szCs w:val="32"/>
        </w:rPr>
        <w:t>Purpose</w:t>
      </w:r>
    </w:p>
    <w:p w14:paraId="253DADE1" w14:textId="77777777" w:rsidR="00277334" w:rsidRDefault="00277334" w:rsidP="002D4423">
      <w:pPr>
        <w:spacing w:line="276" w:lineRule="auto"/>
        <w:rPr>
          <w:rFonts w:asciiTheme="majorHAnsi" w:eastAsiaTheme="majorEastAsia" w:hAnsiTheme="majorHAnsi"/>
          <w:color w:val="auto"/>
          <w:szCs w:val="24"/>
        </w:rPr>
      </w:pPr>
    </w:p>
    <w:p w14:paraId="0D581F8E" w14:textId="2D0546B9" w:rsidR="00277334" w:rsidRDefault="00277334" w:rsidP="002D4423">
      <w:p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 xml:space="preserve">This policy outlines the procedures for identifying, reporting, and managing serious incidents within </w:t>
      </w:r>
      <w:r w:rsidR="003F76FE">
        <w:rPr>
          <w:rFonts w:asciiTheme="majorHAnsi" w:eastAsiaTheme="majorEastAsia" w:hAnsiTheme="majorHAnsi"/>
          <w:color w:val="auto"/>
          <w:szCs w:val="24"/>
        </w:rPr>
        <w:t>our charity</w:t>
      </w:r>
      <w:r w:rsidRPr="00277334">
        <w:rPr>
          <w:rFonts w:asciiTheme="majorHAnsi" w:eastAsiaTheme="majorEastAsia" w:hAnsiTheme="majorHAnsi"/>
          <w:color w:val="auto"/>
          <w:szCs w:val="24"/>
        </w:rPr>
        <w:t xml:space="preserve">. It ensures compliance with </w:t>
      </w:r>
      <w:r w:rsidR="008522B5">
        <w:rPr>
          <w:rFonts w:asciiTheme="majorHAnsi" w:eastAsiaTheme="majorEastAsia" w:hAnsiTheme="majorHAnsi"/>
          <w:color w:val="auto"/>
          <w:szCs w:val="24"/>
        </w:rPr>
        <w:t xml:space="preserve">our charity regulator’s </w:t>
      </w:r>
      <w:r w:rsidRPr="00277334">
        <w:rPr>
          <w:rFonts w:asciiTheme="majorHAnsi" w:eastAsiaTheme="majorEastAsia" w:hAnsiTheme="majorHAnsi"/>
          <w:color w:val="auto"/>
          <w:szCs w:val="24"/>
        </w:rPr>
        <w:t>guidelines and promotes transparency and accountability.</w:t>
      </w:r>
    </w:p>
    <w:p w14:paraId="73019282" w14:textId="77777777" w:rsidR="003F76FE" w:rsidRDefault="003F76FE" w:rsidP="002D4423">
      <w:pPr>
        <w:spacing w:line="276" w:lineRule="auto"/>
        <w:rPr>
          <w:rFonts w:asciiTheme="majorHAnsi" w:eastAsiaTheme="majorEastAsia" w:hAnsiTheme="majorHAnsi"/>
          <w:color w:val="auto"/>
          <w:szCs w:val="24"/>
        </w:rPr>
      </w:pPr>
    </w:p>
    <w:p w14:paraId="26CDB133" w14:textId="1526418A" w:rsidR="003F76FE" w:rsidRDefault="003F76FE" w:rsidP="002D4423">
      <w:pPr>
        <w:spacing w:line="276" w:lineRule="auto"/>
        <w:rPr>
          <w:rFonts w:asciiTheme="majorHAnsi" w:eastAsiaTheme="majorEastAsia" w:hAnsiTheme="majorHAnsi"/>
          <w:color w:val="auto"/>
          <w:szCs w:val="24"/>
        </w:rPr>
      </w:pPr>
      <w:r w:rsidRPr="00A275CA">
        <w:rPr>
          <w:rFonts w:asciiTheme="majorHAnsi" w:eastAsiaTheme="majorEastAsia" w:hAnsiTheme="majorHAnsi"/>
          <w:color w:val="auto"/>
          <w:szCs w:val="24"/>
          <w:highlight w:val="yellow"/>
        </w:rPr>
        <w:t xml:space="preserve">This guidance is based on that issued by the Charity Commission (England and Wales) but goes beyond it to take into consideration wider issues within our charity </w:t>
      </w:r>
      <w:proofErr w:type="gramStart"/>
      <w:r w:rsidRPr="00A275CA">
        <w:rPr>
          <w:rFonts w:asciiTheme="majorHAnsi" w:eastAsiaTheme="majorEastAsia" w:hAnsiTheme="majorHAnsi"/>
          <w:color w:val="auto"/>
          <w:szCs w:val="24"/>
          <w:highlight w:val="yellow"/>
        </w:rPr>
        <w:t>and also</w:t>
      </w:r>
      <w:proofErr w:type="gramEnd"/>
      <w:r w:rsidRPr="00A275CA">
        <w:rPr>
          <w:rFonts w:asciiTheme="majorHAnsi" w:eastAsiaTheme="majorEastAsia" w:hAnsiTheme="majorHAnsi"/>
          <w:color w:val="auto"/>
          <w:szCs w:val="24"/>
          <w:highlight w:val="yellow"/>
        </w:rPr>
        <w:t xml:space="preserve"> </w:t>
      </w:r>
      <w:r w:rsidRPr="00570BDB">
        <w:rPr>
          <w:rFonts w:asciiTheme="majorHAnsi" w:eastAsiaTheme="majorEastAsia" w:hAnsiTheme="majorHAnsi"/>
          <w:color w:val="auto"/>
          <w:szCs w:val="24"/>
          <w:highlight w:val="yellow"/>
        </w:rPr>
        <w:t>other regulators. Links to the guidance issued by OSCR and CCNI are in the regulatory guidance section below.</w:t>
      </w:r>
      <w:r w:rsidR="00570BDB" w:rsidRPr="00570BDB">
        <w:rPr>
          <w:rFonts w:asciiTheme="majorHAnsi" w:eastAsiaTheme="majorEastAsia" w:hAnsiTheme="majorHAnsi"/>
          <w:color w:val="auto"/>
          <w:szCs w:val="24"/>
          <w:highlight w:val="yellow"/>
        </w:rPr>
        <w:t xml:space="preserve"> For Scottish and Northern Irish charities, you will need to review this draft using your </w:t>
      </w:r>
      <w:r w:rsidR="00570BDB">
        <w:rPr>
          <w:rFonts w:asciiTheme="majorHAnsi" w:eastAsiaTheme="majorEastAsia" w:hAnsiTheme="majorHAnsi"/>
          <w:color w:val="auto"/>
          <w:szCs w:val="24"/>
          <w:highlight w:val="yellow"/>
        </w:rPr>
        <w:t xml:space="preserve">own </w:t>
      </w:r>
      <w:r w:rsidR="00570BDB" w:rsidRPr="00570BDB">
        <w:rPr>
          <w:rFonts w:asciiTheme="majorHAnsi" w:eastAsiaTheme="majorEastAsia" w:hAnsiTheme="majorHAnsi"/>
          <w:color w:val="auto"/>
          <w:szCs w:val="24"/>
          <w:highlight w:val="yellow"/>
        </w:rPr>
        <w:t>regulator’s guidance.</w:t>
      </w:r>
      <w:r w:rsidR="00570BDB">
        <w:rPr>
          <w:rFonts w:asciiTheme="majorHAnsi" w:eastAsiaTheme="majorEastAsia" w:hAnsiTheme="majorHAnsi"/>
          <w:color w:val="auto"/>
          <w:szCs w:val="24"/>
        </w:rPr>
        <w:t xml:space="preserve"> </w:t>
      </w:r>
      <w:r>
        <w:rPr>
          <w:rFonts w:asciiTheme="majorHAnsi" w:eastAsiaTheme="majorEastAsia" w:hAnsiTheme="majorHAnsi"/>
          <w:color w:val="auto"/>
          <w:szCs w:val="24"/>
        </w:rPr>
        <w:t xml:space="preserve">  </w:t>
      </w:r>
    </w:p>
    <w:p w14:paraId="6B51B4E5" w14:textId="77777777" w:rsidR="00277334" w:rsidRPr="00277334" w:rsidRDefault="00277334" w:rsidP="002D4423">
      <w:pPr>
        <w:spacing w:line="276" w:lineRule="auto"/>
        <w:rPr>
          <w:rFonts w:asciiTheme="majorHAnsi" w:eastAsiaTheme="majorEastAsia" w:hAnsiTheme="majorHAnsi"/>
          <w:color w:val="auto"/>
          <w:szCs w:val="24"/>
        </w:rPr>
      </w:pPr>
    </w:p>
    <w:p w14:paraId="3A0ED14F" w14:textId="77777777" w:rsidR="008522B5" w:rsidRPr="000456AA" w:rsidRDefault="008522B5" w:rsidP="002D4423">
      <w:pPr>
        <w:pStyle w:val="Heading2"/>
        <w:spacing w:line="276" w:lineRule="auto"/>
        <w:rPr>
          <w:sz w:val="32"/>
          <w:szCs w:val="32"/>
        </w:rPr>
      </w:pPr>
      <w:r w:rsidRPr="000456AA">
        <w:rPr>
          <w:rFonts w:ascii="Century Gothic" w:hAnsi="Century Gothic"/>
          <w:b/>
          <w:bCs/>
          <w:color w:val="1F4E79" w:themeColor="accent5" w:themeShade="80"/>
          <w:sz w:val="32"/>
          <w:szCs w:val="32"/>
        </w:rPr>
        <w:t>Applicability</w:t>
      </w:r>
    </w:p>
    <w:p w14:paraId="658090CC" w14:textId="77777777" w:rsidR="008522B5" w:rsidRDefault="008522B5" w:rsidP="002D4423">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08BF4230" w14:textId="4D8539D0" w:rsidR="00277334" w:rsidRPr="003F76FE" w:rsidRDefault="001B7495" w:rsidP="002D4423">
      <w:pPr>
        <w:spacing w:line="276" w:lineRule="auto"/>
        <w:rPr>
          <w:rFonts w:ascii="Century Gothic" w:eastAsiaTheme="majorEastAsia" w:hAnsi="Century Gothic"/>
          <w:b/>
          <w:bCs/>
          <w:color w:val="1F4E79" w:themeColor="accent5" w:themeShade="80"/>
          <w:sz w:val="32"/>
          <w:szCs w:val="32"/>
        </w:rPr>
      </w:pPr>
      <w:r>
        <w:rPr>
          <w:rFonts w:ascii="Century Gothic" w:eastAsiaTheme="majorEastAsia" w:hAnsi="Century Gothic"/>
          <w:b/>
          <w:bCs/>
          <w:color w:val="1F4E79" w:themeColor="accent5" w:themeShade="80"/>
          <w:sz w:val="32"/>
          <w:szCs w:val="32"/>
        </w:rPr>
        <w:t>When to Raise a Concern</w:t>
      </w:r>
    </w:p>
    <w:p w14:paraId="43FF0034" w14:textId="77777777" w:rsidR="00277334" w:rsidRPr="00277334" w:rsidRDefault="00277334" w:rsidP="002D4423">
      <w:pPr>
        <w:spacing w:line="276" w:lineRule="auto"/>
        <w:rPr>
          <w:rFonts w:asciiTheme="majorHAnsi" w:eastAsiaTheme="majorEastAsia" w:hAnsiTheme="majorHAnsi"/>
          <w:color w:val="auto"/>
          <w:szCs w:val="24"/>
        </w:rPr>
      </w:pPr>
    </w:p>
    <w:p w14:paraId="2C5AD65F" w14:textId="3CDBA5BB" w:rsidR="00277334" w:rsidRDefault="00630DBD" w:rsidP="002D4423">
      <w:p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 xml:space="preserve">A charity </w:t>
      </w:r>
      <w:r w:rsidR="001B7495">
        <w:rPr>
          <w:rFonts w:asciiTheme="majorHAnsi" w:eastAsiaTheme="majorEastAsia" w:hAnsiTheme="majorHAnsi"/>
          <w:color w:val="auto"/>
          <w:szCs w:val="24"/>
        </w:rPr>
        <w:t xml:space="preserve">must raise </w:t>
      </w:r>
      <w:r>
        <w:rPr>
          <w:rFonts w:asciiTheme="majorHAnsi" w:eastAsiaTheme="majorEastAsia" w:hAnsiTheme="majorHAnsi"/>
          <w:color w:val="auto"/>
          <w:szCs w:val="24"/>
        </w:rPr>
        <w:t xml:space="preserve">a </w:t>
      </w:r>
      <w:r w:rsidR="001B7495">
        <w:rPr>
          <w:rFonts w:asciiTheme="majorHAnsi" w:eastAsiaTheme="majorEastAsia" w:hAnsiTheme="majorHAnsi"/>
          <w:color w:val="auto"/>
          <w:szCs w:val="24"/>
        </w:rPr>
        <w:t xml:space="preserve">concern with the </w:t>
      </w:r>
      <w:r>
        <w:rPr>
          <w:rFonts w:asciiTheme="majorHAnsi" w:eastAsiaTheme="majorEastAsia" w:hAnsiTheme="majorHAnsi"/>
          <w:color w:val="auto"/>
          <w:szCs w:val="24"/>
        </w:rPr>
        <w:t xml:space="preserve">charity </w:t>
      </w:r>
      <w:r w:rsidR="001B7495">
        <w:rPr>
          <w:rFonts w:asciiTheme="majorHAnsi" w:eastAsiaTheme="majorEastAsia" w:hAnsiTheme="majorHAnsi"/>
          <w:color w:val="auto"/>
          <w:szCs w:val="24"/>
        </w:rPr>
        <w:t xml:space="preserve">regulator about any of the following. </w:t>
      </w:r>
    </w:p>
    <w:p w14:paraId="702CD8C6" w14:textId="77777777" w:rsidR="00BA411E" w:rsidRPr="00277334" w:rsidRDefault="00BA411E" w:rsidP="002D4423">
      <w:pPr>
        <w:spacing w:line="276" w:lineRule="auto"/>
        <w:rPr>
          <w:rFonts w:asciiTheme="majorHAnsi" w:eastAsiaTheme="majorEastAsia" w:hAnsiTheme="majorHAnsi"/>
          <w:color w:val="auto"/>
          <w:szCs w:val="24"/>
        </w:rPr>
      </w:pPr>
    </w:p>
    <w:p w14:paraId="409F7A00" w14:textId="2CE18DB0" w:rsidR="001B7495" w:rsidRPr="001B7495" w:rsidRDefault="001B7495" w:rsidP="002D4423">
      <w:pPr>
        <w:numPr>
          <w:ilvl w:val="0"/>
          <w:numId w:val="66"/>
        </w:num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A</w:t>
      </w:r>
      <w:r w:rsidRPr="001B7495">
        <w:rPr>
          <w:rFonts w:asciiTheme="majorHAnsi" w:eastAsiaTheme="majorEastAsia" w:hAnsiTheme="majorHAnsi"/>
          <w:color w:val="auto"/>
          <w:szCs w:val="24"/>
        </w:rPr>
        <w:t xml:space="preserve"> charity not following the law, which significantly damages its reputation and public trust in charities generally</w:t>
      </w:r>
      <w:r w:rsidR="002D4423">
        <w:rPr>
          <w:rFonts w:asciiTheme="majorHAnsi" w:eastAsiaTheme="majorEastAsia" w:hAnsiTheme="majorHAnsi"/>
          <w:color w:val="auto"/>
          <w:szCs w:val="24"/>
        </w:rPr>
        <w:t>.</w:t>
      </w:r>
      <w:r w:rsidRPr="001B7495">
        <w:rPr>
          <w:rFonts w:asciiTheme="majorHAnsi" w:eastAsiaTheme="majorEastAsia" w:hAnsiTheme="majorHAnsi"/>
          <w:color w:val="auto"/>
          <w:szCs w:val="24"/>
        </w:rPr>
        <w:t> </w:t>
      </w:r>
    </w:p>
    <w:p w14:paraId="41182FBC" w14:textId="4834CE77" w:rsidR="001B7495" w:rsidRPr="001B7495" w:rsidRDefault="001B7495" w:rsidP="002D4423">
      <w:pPr>
        <w:numPr>
          <w:ilvl w:val="0"/>
          <w:numId w:val="66"/>
        </w:num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S</w:t>
      </w:r>
      <w:r w:rsidRPr="001B7495">
        <w:rPr>
          <w:rFonts w:asciiTheme="majorHAnsi" w:eastAsiaTheme="majorEastAsia" w:hAnsiTheme="majorHAnsi"/>
          <w:color w:val="auto"/>
          <w:szCs w:val="24"/>
        </w:rPr>
        <w:t xml:space="preserve">erious harm to the people the charity helps or other people who </w:t>
      </w:r>
      <w:proofErr w:type="gramStart"/>
      <w:r w:rsidRPr="001B7495">
        <w:rPr>
          <w:rFonts w:asciiTheme="majorHAnsi" w:eastAsiaTheme="majorEastAsia" w:hAnsiTheme="majorHAnsi"/>
          <w:color w:val="auto"/>
          <w:szCs w:val="24"/>
        </w:rPr>
        <w:t>come into contact with</w:t>
      </w:r>
      <w:proofErr w:type="gramEnd"/>
      <w:r w:rsidRPr="001B7495">
        <w:rPr>
          <w:rFonts w:asciiTheme="majorHAnsi" w:eastAsiaTheme="majorEastAsia" w:hAnsiTheme="majorHAnsi"/>
          <w:color w:val="auto"/>
          <w:szCs w:val="24"/>
        </w:rPr>
        <w:t xml:space="preserve"> the charity through its work</w:t>
      </w:r>
      <w:r w:rsidR="002D4423">
        <w:rPr>
          <w:rFonts w:asciiTheme="majorHAnsi" w:eastAsiaTheme="majorEastAsia" w:hAnsiTheme="majorHAnsi"/>
          <w:color w:val="auto"/>
          <w:szCs w:val="24"/>
        </w:rPr>
        <w:t>.</w:t>
      </w:r>
      <w:r w:rsidRPr="001B7495">
        <w:rPr>
          <w:rFonts w:asciiTheme="majorHAnsi" w:eastAsiaTheme="majorEastAsia" w:hAnsiTheme="majorHAnsi"/>
          <w:color w:val="auto"/>
          <w:szCs w:val="24"/>
        </w:rPr>
        <w:t> </w:t>
      </w:r>
    </w:p>
    <w:p w14:paraId="57EC220D" w14:textId="5ABE0E3B" w:rsidR="001B7495" w:rsidRPr="001B7495" w:rsidRDefault="001B7495" w:rsidP="002D4423">
      <w:pPr>
        <w:numPr>
          <w:ilvl w:val="0"/>
          <w:numId w:val="66"/>
        </w:num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C</w:t>
      </w:r>
      <w:r w:rsidRPr="001B7495">
        <w:rPr>
          <w:rFonts w:asciiTheme="majorHAnsi" w:eastAsiaTheme="majorEastAsia" w:hAnsiTheme="majorHAnsi"/>
          <w:color w:val="auto"/>
          <w:szCs w:val="24"/>
        </w:rPr>
        <w:t>harities being used for significant private advantage</w:t>
      </w:r>
      <w:r w:rsidR="002D4423">
        <w:rPr>
          <w:rFonts w:asciiTheme="majorHAnsi" w:eastAsiaTheme="majorEastAsia" w:hAnsiTheme="majorHAnsi"/>
          <w:color w:val="auto"/>
          <w:szCs w:val="24"/>
        </w:rPr>
        <w:t>.</w:t>
      </w:r>
      <w:r w:rsidRPr="001B7495">
        <w:rPr>
          <w:rFonts w:asciiTheme="majorHAnsi" w:eastAsiaTheme="majorEastAsia" w:hAnsiTheme="majorHAnsi"/>
          <w:color w:val="auto"/>
          <w:szCs w:val="24"/>
        </w:rPr>
        <w:t> </w:t>
      </w:r>
    </w:p>
    <w:p w14:paraId="18E33600" w14:textId="0F4B6713" w:rsidR="001B7495" w:rsidRPr="001B7495" w:rsidRDefault="001B7495" w:rsidP="002D4423">
      <w:pPr>
        <w:numPr>
          <w:ilvl w:val="0"/>
          <w:numId w:val="66"/>
        </w:num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A</w:t>
      </w:r>
      <w:r w:rsidRPr="001B7495">
        <w:rPr>
          <w:rFonts w:asciiTheme="majorHAnsi" w:eastAsiaTheme="majorEastAsia" w:hAnsiTheme="majorHAnsi"/>
          <w:color w:val="auto"/>
          <w:szCs w:val="24"/>
        </w:rPr>
        <w:t xml:space="preserve"> charity set up for illegal or improper purposes, for example to avoid paying tax</w:t>
      </w:r>
      <w:r w:rsidR="002D4423">
        <w:rPr>
          <w:rFonts w:asciiTheme="majorHAnsi" w:eastAsiaTheme="majorEastAsia" w:hAnsiTheme="majorHAnsi"/>
          <w:color w:val="auto"/>
          <w:szCs w:val="24"/>
        </w:rPr>
        <w:t>.</w:t>
      </w:r>
      <w:r w:rsidRPr="001B7495">
        <w:rPr>
          <w:rFonts w:asciiTheme="majorHAnsi" w:eastAsiaTheme="majorEastAsia" w:hAnsiTheme="majorHAnsi"/>
          <w:color w:val="auto"/>
          <w:szCs w:val="24"/>
        </w:rPr>
        <w:t> </w:t>
      </w:r>
    </w:p>
    <w:p w14:paraId="5F9B5957" w14:textId="5F77BAF0" w:rsidR="001B7495" w:rsidRPr="001B7495" w:rsidRDefault="001B7495" w:rsidP="002D4423">
      <w:pPr>
        <w:numPr>
          <w:ilvl w:val="0"/>
          <w:numId w:val="66"/>
        </w:num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A</w:t>
      </w:r>
      <w:r w:rsidRPr="001B7495">
        <w:rPr>
          <w:rFonts w:asciiTheme="majorHAnsi" w:eastAsiaTheme="majorEastAsia" w:hAnsiTheme="majorHAnsi"/>
          <w:color w:val="auto"/>
          <w:szCs w:val="24"/>
        </w:rPr>
        <w:t xml:space="preserve"> charity losing significant amounts of money</w:t>
      </w:r>
      <w:r w:rsidR="002D4423">
        <w:rPr>
          <w:rFonts w:asciiTheme="majorHAnsi" w:eastAsiaTheme="majorEastAsia" w:hAnsiTheme="majorHAnsi"/>
          <w:color w:val="auto"/>
          <w:szCs w:val="24"/>
        </w:rPr>
        <w:t>.</w:t>
      </w:r>
      <w:r w:rsidRPr="001B7495">
        <w:rPr>
          <w:rFonts w:asciiTheme="majorHAnsi" w:eastAsiaTheme="majorEastAsia" w:hAnsiTheme="majorHAnsi"/>
          <w:color w:val="auto"/>
          <w:szCs w:val="24"/>
        </w:rPr>
        <w:t> </w:t>
      </w:r>
    </w:p>
    <w:p w14:paraId="65BF5969" w14:textId="14496A17" w:rsidR="001B7495" w:rsidRPr="001B7495" w:rsidRDefault="001B7495" w:rsidP="002D4423">
      <w:pPr>
        <w:numPr>
          <w:ilvl w:val="0"/>
          <w:numId w:val="66"/>
        </w:num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A</w:t>
      </w:r>
      <w:r w:rsidRPr="001B7495">
        <w:rPr>
          <w:rFonts w:asciiTheme="majorHAnsi" w:eastAsiaTheme="majorEastAsia" w:hAnsiTheme="majorHAnsi"/>
          <w:color w:val="auto"/>
          <w:szCs w:val="24"/>
        </w:rPr>
        <w:t xml:space="preserve"> charity losing significant assets, for example land or buildings</w:t>
      </w:r>
      <w:r w:rsidR="002D4423">
        <w:rPr>
          <w:rFonts w:asciiTheme="majorHAnsi" w:eastAsiaTheme="majorEastAsia" w:hAnsiTheme="majorHAnsi"/>
          <w:color w:val="auto"/>
          <w:szCs w:val="24"/>
        </w:rPr>
        <w:t>.</w:t>
      </w:r>
      <w:r w:rsidRPr="001B7495">
        <w:rPr>
          <w:rFonts w:asciiTheme="majorHAnsi" w:eastAsiaTheme="majorEastAsia" w:hAnsiTheme="majorHAnsi"/>
          <w:color w:val="auto"/>
          <w:szCs w:val="24"/>
        </w:rPr>
        <w:t> </w:t>
      </w:r>
    </w:p>
    <w:p w14:paraId="78D6062E" w14:textId="58321480" w:rsidR="001B7495" w:rsidRPr="001B7495" w:rsidRDefault="001B7495" w:rsidP="002D4423">
      <w:pPr>
        <w:numPr>
          <w:ilvl w:val="0"/>
          <w:numId w:val="66"/>
        </w:num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C</w:t>
      </w:r>
      <w:r w:rsidRPr="001B7495">
        <w:rPr>
          <w:rFonts w:asciiTheme="majorHAnsi" w:eastAsiaTheme="majorEastAsia" w:hAnsiTheme="majorHAnsi"/>
          <w:color w:val="auto"/>
          <w:szCs w:val="24"/>
        </w:rPr>
        <w:t>riminal, illegal or terrorist activity</w:t>
      </w:r>
      <w:r w:rsidR="002D4423">
        <w:rPr>
          <w:rFonts w:asciiTheme="majorHAnsi" w:eastAsiaTheme="majorEastAsia" w:hAnsiTheme="majorHAnsi"/>
          <w:color w:val="auto"/>
          <w:szCs w:val="24"/>
        </w:rPr>
        <w:t>.</w:t>
      </w:r>
    </w:p>
    <w:p w14:paraId="7120BDCF" w14:textId="77777777" w:rsidR="003F76FE" w:rsidRDefault="003F76FE" w:rsidP="002D4423">
      <w:pPr>
        <w:spacing w:line="276" w:lineRule="auto"/>
        <w:rPr>
          <w:rFonts w:asciiTheme="majorHAnsi" w:eastAsiaTheme="majorEastAsia" w:hAnsiTheme="majorHAnsi"/>
          <w:color w:val="auto"/>
          <w:szCs w:val="24"/>
        </w:rPr>
      </w:pPr>
    </w:p>
    <w:p w14:paraId="6504BB90" w14:textId="77777777" w:rsidR="00BA411E" w:rsidRPr="00846AE5" w:rsidRDefault="00BA411E" w:rsidP="002D4423">
      <w:pPr>
        <w:spacing w:line="276" w:lineRule="auto"/>
        <w:rPr>
          <w:rFonts w:ascii="Century Gothic" w:eastAsiaTheme="majorEastAsia" w:hAnsi="Century Gothic" w:cstheme="minorHAnsi"/>
          <w:b/>
          <w:bCs/>
          <w:color w:val="1F4E79" w:themeColor="accent5" w:themeShade="80"/>
          <w:sz w:val="32"/>
          <w:szCs w:val="32"/>
        </w:rPr>
      </w:pPr>
      <w:r w:rsidRPr="00846AE5">
        <w:rPr>
          <w:rFonts w:ascii="Century Gothic" w:eastAsiaTheme="majorEastAsia" w:hAnsi="Century Gothic" w:cstheme="minorHAnsi"/>
          <w:b/>
          <w:bCs/>
          <w:color w:val="1F4E79" w:themeColor="accent5" w:themeShade="80"/>
          <w:sz w:val="32"/>
          <w:szCs w:val="32"/>
        </w:rPr>
        <w:lastRenderedPageBreak/>
        <w:t xml:space="preserve">Investigating an Incident </w:t>
      </w:r>
    </w:p>
    <w:p w14:paraId="019C5ECE" w14:textId="77777777" w:rsidR="00BA411E" w:rsidRDefault="00BA411E" w:rsidP="002D4423">
      <w:pPr>
        <w:spacing w:line="276" w:lineRule="auto"/>
        <w:rPr>
          <w:rFonts w:asciiTheme="majorHAnsi" w:eastAsiaTheme="majorEastAsia" w:hAnsiTheme="majorHAnsi"/>
          <w:color w:val="auto"/>
          <w:szCs w:val="24"/>
        </w:rPr>
      </w:pPr>
    </w:p>
    <w:p w14:paraId="66EDAFFE" w14:textId="24523745" w:rsidR="00BA411E" w:rsidRDefault="00BA411E" w:rsidP="002D4423">
      <w:p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Any incident that causes an injury or harm should be investigated.  For serious incidents it may be necessary to have it formally investigated, or even be investigated by external authorities.  However, even if it is only minor and only requires a</w:t>
      </w:r>
      <w:r w:rsidR="00570BDB">
        <w:rPr>
          <w:rFonts w:asciiTheme="majorHAnsi" w:eastAsiaTheme="majorEastAsia" w:hAnsiTheme="majorHAnsi"/>
          <w:color w:val="auto"/>
          <w:szCs w:val="24"/>
        </w:rPr>
        <w:t>n informal</w:t>
      </w:r>
      <w:r>
        <w:rPr>
          <w:rFonts w:asciiTheme="majorHAnsi" w:eastAsiaTheme="majorEastAsia" w:hAnsiTheme="majorHAnsi"/>
          <w:color w:val="auto"/>
          <w:szCs w:val="24"/>
        </w:rPr>
        <w:t xml:space="preserve"> review by line management, the following process should be followed.</w:t>
      </w:r>
    </w:p>
    <w:p w14:paraId="47859517" w14:textId="77777777" w:rsidR="00BA411E" w:rsidRDefault="00BA411E" w:rsidP="002D4423">
      <w:pPr>
        <w:spacing w:line="276" w:lineRule="auto"/>
        <w:rPr>
          <w:rFonts w:asciiTheme="majorHAnsi" w:eastAsiaTheme="majorEastAsia" w:hAnsiTheme="majorHAnsi"/>
          <w:color w:val="auto"/>
          <w:szCs w:val="24"/>
        </w:rPr>
      </w:pPr>
    </w:p>
    <w:p w14:paraId="6AB57549" w14:textId="77777777" w:rsidR="00BA411E" w:rsidRPr="0023300C" w:rsidRDefault="00BA411E" w:rsidP="002D4423">
      <w:pPr>
        <w:pStyle w:val="ListParagraph"/>
        <w:numPr>
          <w:ilvl w:val="0"/>
          <w:numId w:val="63"/>
        </w:numPr>
        <w:rPr>
          <w:rFonts w:asciiTheme="majorHAnsi" w:eastAsiaTheme="majorEastAsia" w:hAnsiTheme="majorHAnsi"/>
          <w:color w:val="auto"/>
          <w:sz w:val="24"/>
          <w:szCs w:val="24"/>
        </w:rPr>
      </w:pPr>
      <w:r w:rsidRPr="0023300C">
        <w:rPr>
          <w:rFonts w:asciiTheme="majorHAnsi" w:eastAsiaTheme="majorEastAsia" w:hAnsiTheme="majorHAnsi"/>
          <w:color w:val="auto"/>
          <w:sz w:val="24"/>
          <w:szCs w:val="24"/>
        </w:rPr>
        <w:t>Identify what happened and the extent of any injury or harm.</w:t>
      </w:r>
    </w:p>
    <w:p w14:paraId="4E615ADE" w14:textId="65E32AF6" w:rsidR="00BA411E" w:rsidRPr="0023300C" w:rsidRDefault="00BA411E" w:rsidP="002D4423">
      <w:pPr>
        <w:pStyle w:val="ListParagraph"/>
        <w:numPr>
          <w:ilvl w:val="0"/>
          <w:numId w:val="63"/>
        </w:numPr>
        <w:rPr>
          <w:rFonts w:asciiTheme="majorHAnsi" w:eastAsiaTheme="majorEastAsia" w:hAnsiTheme="majorHAnsi"/>
          <w:color w:val="auto"/>
          <w:sz w:val="24"/>
          <w:szCs w:val="24"/>
        </w:rPr>
      </w:pPr>
      <w:r w:rsidRPr="0023300C">
        <w:rPr>
          <w:rFonts w:asciiTheme="majorHAnsi" w:eastAsiaTheme="majorEastAsia" w:hAnsiTheme="majorHAnsi"/>
          <w:color w:val="auto"/>
          <w:sz w:val="24"/>
          <w:szCs w:val="24"/>
        </w:rPr>
        <w:t xml:space="preserve">Assess if there is a </w:t>
      </w:r>
      <w:r>
        <w:rPr>
          <w:rFonts w:asciiTheme="majorHAnsi" w:eastAsiaTheme="majorEastAsia" w:hAnsiTheme="majorHAnsi"/>
          <w:color w:val="auto"/>
          <w:sz w:val="24"/>
          <w:szCs w:val="24"/>
        </w:rPr>
        <w:t>serious incident</w:t>
      </w:r>
      <w:r w:rsidRPr="0023300C">
        <w:rPr>
          <w:rFonts w:asciiTheme="majorHAnsi" w:eastAsiaTheme="majorEastAsia" w:hAnsiTheme="majorHAnsi"/>
          <w:color w:val="auto"/>
          <w:sz w:val="24"/>
          <w:szCs w:val="24"/>
        </w:rPr>
        <w:t>, or other, reporting requirement.</w:t>
      </w:r>
    </w:p>
    <w:p w14:paraId="07E7DF54" w14:textId="77777777" w:rsidR="00BA411E" w:rsidRPr="0023300C" w:rsidRDefault="00BA411E" w:rsidP="002D4423">
      <w:pPr>
        <w:pStyle w:val="ListParagraph"/>
        <w:numPr>
          <w:ilvl w:val="0"/>
          <w:numId w:val="63"/>
        </w:numPr>
        <w:rPr>
          <w:rFonts w:asciiTheme="majorHAnsi" w:eastAsiaTheme="majorEastAsia" w:hAnsiTheme="majorHAnsi"/>
          <w:color w:val="auto"/>
          <w:sz w:val="24"/>
          <w:szCs w:val="24"/>
        </w:rPr>
      </w:pPr>
      <w:r w:rsidRPr="0023300C">
        <w:rPr>
          <w:rFonts w:asciiTheme="majorHAnsi" w:eastAsiaTheme="majorEastAsia" w:hAnsiTheme="majorHAnsi"/>
          <w:color w:val="auto"/>
          <w:sz w:val="24"/>
          <w:szCs w:val="24"/>
        </w:rPr>
        <w:t>Identify the cause and</w:t>
      </w:r>
      <w:proofErr w:type="gramStart"/>
      <w:r w:rsidRPr="0023300C">
        <w:rPr>
          <w:rFonts w:asciiTheme="majorHAnsi" w:eastAsiaTheme="majorEastAsia" w:hAnsiTheme="majorHAnsi"/>
          <w:color w:val="auto"/>
          <w:sz w:val="24"/>
          <w:szCs w:val="24"/>
        </w:rPr>
        <w:t>, in particular, if</w:t>
      </w:r>
      <w:proofErr w:type="gramEnd"/>
      <w:r w:rsidRPr="0023300C">
        <w:rPr>
          <w:rFonts w:asciiTheme="majorHAnsi" w:eastAsiaTheme="majorEastAsia" w:hAnsiTheme="majorHAnsi"/>
          <w:color w:val="auto"/>
          <w:sz w:val="24"/>
          <w:szCs w:val="24"/>
        </w:rPr>
        <w:t xml:space="preserve"> a mistake was made by someone and/or there was a weakness in policy or procedures.</w:t>
      </w:r>
    </w:p>
    <w:p w14:paraId="656F4379" w14:textId="77777777" w:rsidR="00BA411E" w:rsidRPr="0023300C" w:rsidRDefault="00BA411E" w:rsidP="002D4423">
      <w:pPr>
        <w:pStyle w:val="ListParagraph"/>
        <w:numPr>
          <w:ilvl w:val="0"/>
          <w:numId w:val="63"/>
        </w:numPr>
        <w:rPr>
          <w:rFonts w:asciiTheme="majorHAnsi" w:eastAsiaTheme="majorEastAsia" w:hAnsiTheme="majorHAnsi"/>
          <w:color w:val="auto"/>
          <w:sz w:val="24"/>
          <w:szCs w:val="24"/>
        </w:rPr>
      </w:pPr>
      <w:r w:rsidRPr="0023300C">
        <w:rPr>
          <w:rFonts w:asciiTheme="majorHAnsi" w:eastAsiaTheme="majorEastAsia" w:hAnsiTheme="majorHAnsi"/>
          <w:color w:val="auto"/>
          <w:sz w:val="24"/>
          <w:szCs w:val="24"/>
        </w:rPr>
        <w:t xml:space="preserve">Identify what reasonable steps should be taken to prevent or at least mitigate the risk of it happening again, who should take these steps and a timescale for doing so.  </w:t>
      </w:r>
    </w:p>
    <w:p w14:paraId="58B26060" w14:textId="03851FF1" w:rsidR="00277334" w:rsidRPr="00277334" w:rsidRDefault="00277334" w:rsidP="002D4423">
      <w:pPr>
        <w:spacing w:line="276" w:lineRule="auto"/>
        <w:rPr>
          <w:rFonts w:ascii="Century Gothic" w:eastAsiaTheme="majorEastAsia" w:hAnsi="Century Gothic"/>
          <w:b/>
          <w:bCs/>
          <w:color w:val="1F4E79" w:themeColor="accent5" w:themeShade="80"/>
          <w:sz w:val="32"/>
          <w:szCs w:val="32"/>
        </w:rPr>
      </w:pPr>
      <w:r w:rsidRPr="00277334">
        <w:rPr>
          <w:rFonts w:ascii="Century Gothic" w:eastAsiaTheme="majorEastAsia" w:hAnsi="Century Gothic"/>
          <w:b/>
          <w:bCs/>
          <w:color w:val="1F4E79" w:themeColor="accent5" w:themeShade="80"/>
          <w:sz w:val="32"/>
          <w:szCs w:val="32"/>
        </w:rPr>
        <w:t>Responsibility to Report</w:t>
      </w:r>
    </w:p>
    <w:p w14:paraId="0285E912" w14:textId="77777777" w:rsidR="003F76FE" w:rsidRDefault="003F76FE" w:rsidP="002D4423">
      <w:pPr>
        <w:spacing w:line="276" w:lineRule="auto"/>
        <w:rPr>
          <w:rFonts w:asciiTheme="majorHAnsi" w:eastAsiaTheme="majorEastAsia" w:hAnsiTheme="majorHAnsi"/>
          <w:color w:val="auto"/>
          <w:szCs w:val="24"/>
        </w:rPr>
      </w:pPr>
    </w:p>
    <w:p w14:paraId="4E283B5C" w14:textId="101EA3FD" w:rsidR="00277334" w:rsidRPr="00277334" w:rsidRDefault="00277334" w:rsidP="002D4423">
      <w:p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The responsibility for reporting serious incidents rests with the charity’s trustees. Trustees may delegate the task to an employee or professional adviser, but they retain ultimate responsibility for ensuring timely and accurate reporting.</w:t>
      </w:r>
    </w:p>
    <w:p w14:paraId="677C8F6D" w14:textId="77777777" w:rsidR="003F76FE" w:rsidRDefault="003F76FE" w:rsidP="002D4423">
      <w:pPr>
        <w:spacing w:line="276" w:lineRule="auto"/>
        <w:rPr>
          <w:rFonts w:asciiTheme="majorHAnsi" w:eastAsiaTheme="majorEastAsia" w:hAnsiTheme="majorHAnsi"/>
          <w:color w:val="auto"/>
          <w:szCs w:val="24"/>
        </w:rPr>
      </w:pPr>
    </w:p>
    <w:p w14:paraId="787A1541" w14:textId="46356745" w:rsidR="00277334" w:rsidRPr="00277334" w:rsidRDefault="00277334" w:rsidP="002D4423">
      <w:pPr>
        <w:spacing w:line="276" w:lineRule="auto"/>
        <w:rPr>
          <w:rFonts w:ascii="Century Gothic" w:eastAsiaTheme="majorEastAsia" w:hAnsi="Century Gothic"/>
          <w:b/>
          <w:bCs/>
          <w:color w:val="1F4E79" w:themeColor="accent5" w:themeShade="80"/>
          <w:sz w:val="32"/>
          <w:szCs w:val="32"/>
        </w:rPr>
      </w:pPr>
      <w:r w:rsidRPr="00277334">
        <w:rPr>
          <w:rFonts w:ascii="Century Gothic" w:eastAsiaTheme="majorEastAsia" w:hAnsi="Century Gothic"/>
          <w:b/>
          <w:bCs/>
          <w:color w:val="1F4E79" w:themeColor="accent5" w:themeShade="80"/>
          <w:sz w:val="32"/>
          <w:szCs w:val="32"/>
        </w:rPr>
        <w:t>What to Report</w:t>
      </w:r>
    </w:p>
    <w:p w14:paraId="47BDDB96" w14:textId="77777777" w:rsidR="003F76FE" w:rsidRDefault="003F76FE" w:rsidP="002D4423">
      <w:pPr>
        <w:spacing w:line="276" w:lineRule="auto"/>
        <w:rPr>
          <w:rFonts w:asciiTheme="majorHAnsi" w:eastAsiaTheme="majorEastAsia" w:hAnsiTheme="majorHAnsi"/>
          <w:color w:val="auto"/>
          <w:szCs w:val="24"/>
        </w:rPr>
      </w:pPr>
    </w:p>
    <w:p w14:paraId="7E8E60D6" w14:textId="09C78ECC" w:rsidR="00277334" w:rsidRDefault="00277334" w:rsidP="002D4423">
      <w:p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Incidents that must be reported include, but are not limited to:</w:t>
      </w:r>
    </w:p>
    <w:p w14:paraId="2E3584B9" w14:textId="77777777" w:rsidR="003F76FE" w:rsidRPr="00277334" w:rsidRDefault="003F76FE" w:rsidP="002D4423">
      <w:pPr>
        <w:spacing w:line="276" w:lineRule="auto"/>
        <w:rPr>
          <w:rFonts w:asciiTheme="majorHAnsi" w:eastAsiaTheme="majorEastAsia" w:hAnsiTheme="majorHAnsi"/>
          <w:color w:val="auto"/>
          <w:szCs w:val="24"/>
        </w:rPr>
      </w:pPr>
    </w:p>
    <w:p w14:paraId="3725E642" w14:textId="77777777" w:rsidR="00277334" w:rsidRPr="00277334" w:rsidRDefault="00277334" w:rsidP="002D4423">
      <w:pPr>
        <w:numPr>
          <w:ilvl w:val="0"/>
          <w:numId w:val="59"/>
        </w:num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Fraud, theft, or significant financial loss.</w:t>
      </w:r>
    </w:p>
    <w:p w14:paraId="43FF36D6" w14:textId="77777777" w:rsidR="00277334" w:rsidRPr="00277334" w:rsidRDefault="00277334" w:rsidP="002D4423">
      <w:pPr>
        <w:numPr>
          <w:ilvl w:val="0"/>
          <w:numId w:val="59"/>
        </w:num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Significant harm to beneficiaries, staff, or volunteers.</w:t>
      </w:r>
    </w:p>
    <w:p w14:paraId="30E786CF" w14:textId="77777777" w:rsidR="00277334" w:rsidRPr="00277334" w:rsidRDefault="00277334" w:rsidP="002D4423">
      <w:pPr>
        <w:numPr>
          <w:ilvl w:val="0"/>
          <w:numId w:val="59"/>
        </w:num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Major governance issues.</w:t>
      </w:r>
    </w:p>
    <w:p w14:paraId="3D2B8F96" w14:textId="77777777" w:rsidR="00277334" w:rsidRDefault="00277334" w:rsidP="002D4423">
      <w:pPr>
        <w:numPr>
          <w:ilvl w:val="0"/>
          <w:numId w:val="59"/>
        </w:num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Any other incident that could seriously impact the charity’s reputation or operations.</w:t>
      </w:r>
    </w:p>
    <w:p w14:paraId="1C01BD5D" w14:textId="77777777" w:rsidR="003F76FE" w:rsidRDefault="003F76FE" w:rsidP="002D4423">
      <w:pPr>
        <w:spacing w:line="276" w:lineRule="auto"/>
        <w:rPr>
          <w:rFonts w:asciiTheme="majorHAnsi" w:eastAsiaTheme="majorEastAsia" w:hAnsiTheme="majorHAnsi"/>
          <w:color w:val="auto"/>
          <w:szCs w:val="24"/>
        </w:rPr>
      </w:pPr>
    </w:p>
    <w:p w14:paraId="5CC11502" w14:textId="77777777" w:rsidR="005F74E3" w:rsidRDefault="005F74E3" w:rsidP="002D4423">
      <w:pPr>
        <w:spacing w:line="276" w:lineRule="auto"/>
        <w:rPr>
          <w:rFonts w:asciiTheme="majorHAnsi" w:eastAsiaTheme="majorEastAsia" w:hAnsiTheme="majorHAnsi"/>
          <w:color w:val="auto"/>
          <w:szCs w:val="24"/>
        </w:rPr>
      </w:pPr>
      <w:r w:rsidRPr="005F74E3">
        <w:rPr>
          <w:rFonts w:asciiTheme="majorHAnsi" w:eastAsiaTheme="majorEastAsia" w:hAnsiTheme="majorHAnsi"/>
          <w:color w:val="auto"/>
          <w:szCs w:val="24"/>
        </w:rPr>
        <w:t>The main categories of reportable incident are:</w:t>
      </w:r>
    </w:p>
    <w:p w14:paraId="686193D3" w14:textId="77777777" w:rsidR="005F74E3" w:rsidRPr="005F74E3" w:rsidRDefault="005F74E3" w:rsidP="002D4423">
      <w:pPr>
        <w:spacing w:line="276" w:lineRule="auto"/>
        <w:rPr>
          <w:rFonts w:asciiTheme="majorHAnsi" w:eastAsiaTheme="majorEastAsia" w:hAnsiTheme="majorHAnsi"/>
          <w:color w:val="auto"/>
          <w:szCs w:val="24"/>
        </w:rPr>
      </w:pPr>
    </w:p>
    <w:p w14:paraId="764FC2FF" w14:textId="77777777" w:rsidR="005F74E3" w:rsidRPr="005F74E3" w:rsidRDefault="005F74E3" w:rsidP="002D4423">
      <w:pPr>
        <w:numPr>
          <w:ilvl w:val="0"/>
          <w:numId w:val="65"/>
        </w:numPr>
        <w:spacing w:line="276" w:lineRule="auto"/>
        <w:rPr>
          <w:rFonts w:asciiTheme="majorHAnsi" w:eastAsiaTheme="majorEastAsia" w:hAnsiTheme="majorHAnsi"/>
          <w:color w:val="auto"/>
          <w:szCs w:val="24"/>
        </w:rPr>
      </w:pPr>
      <w:r w:rsidRPr="005F74E3">
        <w:rPr>
          <w:rFonts w:asciiTheme="majorHAnsi" w:eastAsiaTheme="majorEastAsia" w:hAnsiTheme="majorHAnsi"/>
          <w:color w:val="auto"/>
          <w:szCs w:val="24"/>
        </w:rPr>
        <w:t xml:space="preserve">protecting people and safeguarding incidents – incidents that have resulted in or risk significant harm to beneficiaries and other people who </w:t>
      </w:r>
      <w:proofErr w:type="gramStart"/>
      <w:r w:rsidRPr="005F74E3">
        <w:rPr>
          <w:rFonts w:asciiTheme="majorHAnsi" w:eastAsiaTheme="majorEastAsia" w:hAnsiTheme="majorHAnsi"/>
          <w:color w:val="auto"/>
          <w:szCs w:val="24"/>
        </w:rPr>
        <w:t>come into contact with</w:t>
      </w:r>
      <w:proofErr w:type="gramEnd"/>
      <w:r w:rsidRPr="005F74E3">
        <w:rPr>
          <w:rFonts w:asciiTheme="majorHAnsi" w:eastAsiaTheme="majorEastAsia" w:hAnsiTheme="majorHAnsi"/>
          <w:color w:val="auto"/>
          <w:szCs w:val="24"/>
        </w:rPr>
        <w:t xml:space="preserve"> the charity through its work</w:t>
      </w:r>
    </w:p>
    <w:p w14:paraId="6CF8963D" w14:textId="0270ECE8" w:rsidR="005F74E3" w:rsidRPr="005F74E3" w:rsidRDefault="005F74E3" w:rsidP="002D4423">
      <w:pPr>
        <w:numPr>
          <w:ilvl w:val="0"/>
          <w:numId w:val="65"/>
        </w:numPr>
        <w:spacing w:line="276" w:lineRule="auto"/>
        <w:rPr>
          <w:rFonts w:asciiTheme="majorHAnsi" w:eastAsiaTheme="majorEastAsia" w:hAnsiTheme="majorHAnsi"/>
          <w:color w:val="auto"/>
          <w:szCs w:val="24"/>
        </w:rPr>
      </w:pPr>
      <w:r w:rsidRPr="005F74E3">
        <w:rPr>
          <w:rFonts w:asciiTheme="majorHAnsi" w:eastAsiaTheme="majorEastAsia" w:hAnsiTheme="majorHAnsi"/>
          <w:color w:val="auto"/>
          <w:szCs w:val="24"/>
        </w:rPr>
        <w:t>financial crimes – fraud, theft, cyber-crime and money laundering</w:t>
      </w:r>
      <w:r>
        <w:rPr>
          <w:rFonts w:asciiTheme="majorHAnsi" w:eastAsiaTheme="majorEastAsia" w:hAnsiTheme="majorHAnsi"/>
          <w:color w:val="auto"/>
          <w:szCs w:val="24"/>
        </w:rPr>
        <w:t>.</w:t>
      </w:r>
    </w:p>
    <w:p w14:paraId="17A887B1" w14:textId="413D3F4C" w:rsidR="005F74E3" w:rsidRPr="005F74E3" w:rsidRDefault="005F74E3" w:rsidP="002D4423">
      <w:pPr>
        <w:numPr>
          <w:ilvl w:val="0"/>
          <w:numId w:val="65"/>
        </w:numPr>
        <w:spacing w:line="276" w:lineRule="auto"/>
        <w:rPr>
          <w:rFonts w:asciiTheme="majorHAnsi" w:eastAsiaTheme="majorEastAsia" w:hAnsiTheme="majorHAnsi"/>
          <w:color w:val="auto"/>
          <w:szCs w:val="24"/>
        </w:rPr>
      </w:pPr>
      <w:r w:rsidRPr="005F74E3">
        <w:rPr>
          <w:rFonts w:asciiTheme="majorHAnsi" w:eastAsiaTheme="majorEastAsia" w:hAnsiTheme="majorHAnsi"/>
          <w:color w:val="auto"/>
          <w:szCs w:val="24"/>
        </w:rPr>
        <w:t>large donations from an unknown or unverifiable source, or suspicious financial activity using the charity’s funds</w:t>
      </w:r>
      <w:r>
        <w:rPr>
          <w:rFonts w:asciiTheme="majorHAnsi" w:eastAsiaTheme="majorEastAsia" w:hAnsiTheme="majorHAnsi"/>
          <w:color w:val="auto"/>
          <w:szCs w:val="24"/>
        </w:rPr>
        <w:t>.</w:t>
      </w:r>
    </w:p>
    <w:p w14:paraId="376A4993" w14:textId="65B2173C" w:rsidR="005F74E3" w:rsidRPr="005F74E3" w:rsidRDefault="005F74E3" w:rsidP="002D4423">
      <w:pPr>
        <w:numPr>
          <w:ilvl w:val="0"/>
          <w:numId w:val="65"/>
        </w:numPr>
        <w:spacing w:line="276" w:lineRule="auto"/>
        <w:rPr>
          <w:rFonts w:asciiTheme="majorHAnsi" w:eastAsiaTheme="majorEastAsia" w:hAnsiTheme="majorHAnsi"/>
          <w:color w:val="auto"/>
          <w:szCs w:val="24"/>
        </w:rPr>
      </w:pPr>
      <w:r w:rsidRPr="005F74E3">
        <w:rPr>
          <w:rFonts w:asciiTheme="majorHAnsi" w:eastAsiaTheme="majorEastAsia" w:hAnsiTheme="majorHAnsi"/>
          <w:color w:val="auto"/>
          <w:szCs w:val="24"/>
        </w:rPr>
        <w:t>other significant financial loss</w:t>
      </w:r>
      <w:r>
        <w:rPr>
          <w:rFonts w:asciiTheme="majorHAnsi" w:eastAsiaTheme="majorEastAsia" w:hAnsiTheme="majorHAnsi"/>
          <w:color w:val="auto"/>
          <w:szCs w:val="24"/>
        </w:rPr>
        <w:t>.</w:t>
      </w:r>
    </w:p>
    <w:p w14:paraId="03954FB1" w14:textId="7C32345B" w:rsidR="005F74E3" w:rsidRPr="005F74E3" w:rsidRDefault="005F74E3" w:rsidP="002D4423">
      <w:pPr>
        <w:numPr>
          <w:ilvl w:val="0"/>
          <w:numId w:val="65"/>
        </w:numPr>
        <w:spacing w:line="276" w:lineRule="auto"/>
        <w:rPr>
          <w:rFonts w:asciiTheme="majorHAnsi" w:eastAsiaTheme="majorEastAsia" w:hAnsiTheme="majorHAnsi"/>
          <w:color w:val="auto"/>
          <w:szCs w:val="24"/>
        </w:rPr>
      </w:pPr>
      <w:r w:rsidRPr="005F74E3">
        <w:rPr>
          <w:rFonts w:asciiTheme="majorHAnsi" w:eastAsiaTheme="majorEastAsia" w:hAnsiTheme="majorHAnsi"/>
          <w:color w:val="auto"/>
          <w:szCs w:val="24"/>
        </w:rPr>
        <w:lastRenderedPageBreak/>
        <w:t>links to terrorism or extremism, including ‘proscribed’ (or banned) organisations, individuals subject to an asset freeze, or kidnapping of staff</w:t>
      </w:r>
      <w:r>
        <w:rPr>
          <w:rFonts w:asciiTheme="majorHAnsi" w:eastAsiaTheme="majorEastAsia" w:hAnsiTheme="majorHAnsi"/>
          <w:color w:val="auto"/>
          <w:szCs w:val="24"/>
        </w:rPr>
        <w:t>.</w:t>
      </w:r>
    </w:p>
    <w:p w14:paraId="121EF120" w14:textId="2D0F85EA" w:rsidR="005F74E3" w:rsidRPr="005F74E3" w:rsidRDefault="005F74E3" w:rsidP="002D4423">
      <w:pPr>
        <w:numPr>
          <w:ilvl w:val="0"/>
          <w:numId w:val="65"/>
        </w:numPr>
        <w:spacing w:line="276" w:lineRule="auto"/>
        <w:rPr>
          <w:rFonts w:asciiTheme="majorHAnsi" w:eastAsiaTheme="majorEastAsia" w:hAnsiTheme="majorHAnsi"/>
          <w:color w:val="auto"/>
          <w:szCs w:val="24"/>
        </w:rPr>
      </w:pPr>
      <w:r w:rsidRPr="005F74E3">
        <w:rPr>
          <w:rFonts w:asciiTheme="majorHAnsi" w:eastAsiaTheme="majorEastAsia" w:hAnsiTheme="majorHAnsi"/>
          <w:color w:val="auto"/>
          <w:szCs w:val="24"/>
        </w:rPr>
        <w:t>other significant incidents, such as – insolvency, forced withdrawal of banking services without an alternative, significant data breaches/losses or incidents involving partners that materially affect the charity</w:t>
      </w:r>
      <w:r>
        <w:rPr>
          <w:rFonts w:asciiTheme="majorHAnsi" w:eastAsiaTheme="majorEastAsia" w:hAnsiTheme="majorHAnsi"/>
          <w:color w:val="auto"/>
          <w:szCs w:val="24"/>
        </w:rPr>
        <w:t>.</w:t>
      </w:r>
    </w:p>
    <w:p w14:paraId="5EAC001B" w14:textId="77777777" w:rsidR="005F74E3" w:rsidRDefault="005F74E3" w:rsidP="002D4423">
      <w:pPr>
        <w:spacing w:line="276" w:lineRule="auto"/>
        <w:rPr>
          <w:rFonts w:asciiTheme="majorHAnsi" w:eastAsiaTheme="majorEastAsia" w:hAnsiTheme="majorHAnsi"/>
          <w:color w:val="auto"/>
          <w:szCs w:val="24"/>
        </w:rPr>
      </w:pPr>
    </w:p>
    <w:p w14:paraId="31BCADED" w14:textId="2A1EDAC6" w:rsidR="003F76FE" w:rsidRPr="00277334" w:rsidRDefault="003F76FE" w:rsidP="002D4423">
      <w:pPr>
        <w:spacing w:line="276" w:lineRule="auto"/>
        <w:rPr>
          <w:rFonts w:asciiTheme="majorHAnsi" w:eastAsiaTheme="majorEastAsia" w:hAnsiTheme="majorHAnsi"/>
          <w:color w:val="auto"/>
          <w:szCs w:val="24"/>
        </w:rPr>
      </w:pPr>
      <w:r>
        <w:rPr>
          <w:rFonts w:asciiTheme="majorHAnsi" w:eastAsiaTheme="majorEastAsia" w:hAnsiTheme="majorHAnsi"/>
          <w:color w:val="auto"/>
          <w:szCs w:val="24"/>
        </w:rPr>
        <w:t xml:space="preserve">Examples of what we should and should not report are contained in the </w:t>
      </w:r>
      <w:r>
        <w:rPr>
          <w:rFonts w:asciiTheme="majorHAnsi" w:eastAsiaTheme="majorEastAsia" w:hAnsiTheme="majorHAnsi" w:cstheme="majorBidi"/>
          <w:color w:val="auto"/>
          <w:szCs w:val="24"/>
        </w:rPr>
        <w:t xml:space="preserve">Charity Commission (England &amp; Wales) – </w:t>
      </w:r>
      <w:hyperlink r:id="rId8" w:history="1">
        <w:r w:rsidRPr="00DC3A97">
          <w:rPr>
            <w:rStyle w:val="Hyperlink"/>
            <w:rFonts w:asciiTheme="majorHAnsi" w:eastAsiaTheme="majorEastAsia" w:hAnsiTheme="majorHAnsi" w:cstheme="majorBidi"/>
            <w:szCs w:val="24"/>
          </w:rPr>
          <w:t>Serious Incident Examples Table</w:t>
        </w:r>
      </w:hyperlink>
      <w:r>
        <w:rPr>
          <w:rFonts w:asciiTheme="majorHAnsi" w:eastAsiaTheme="majorEastAsia" w:hAnsiTheme="majorHAnsi" w:cstheme="majorBidi"/>
          <w:color w:val="auto"/>
          <w:szCs w:val="24"/>
        </w:rPr>
        <w:t xml:space="preserve"> – Deciding What to Report.  </w:t>
      </w:r>
    </w:p>
    <w:p w14:paraId="0B5666E0" w14:textId="77777777" w:rsidR="003F76FE" w:rsidRDefault="003F76FE" w:rsidP="002D4423">
      <w:pPr>
        <w:spacing w:line="276" w:lineRule="auto"/>
        <w:rPr>
          <w:rFonts w:asciiTheme="majorHAnsi" w:eastAsiaTheme="majorEastAsia" w:hAnsiTheme="majorHAnsi"/>
          <w:color w:val="auto"/>
          <w:szCs w:val="24"/>
        </w:rPr>
      </w:pPr>
    </w:p>
    <w:p w14:paraId="4B3045E8" w14:textId="636DEE28" w:rsidR="00277334" w:rsidRPr="003F76FE" w:rsidRDefault="00277334" w:rsidP="002D4423">
      <w:pPr>
        <w:spacing w:line="276" w:lineRule="auto"/>
        <w:rPr>
          <w:rFonts w:ascii="Century Gothic" w:eastAsiaTheme="majorEastAsia" w:hAnsi="Century Gothic"/>
          <w:b/>
          <w:bCs/>
          <w:color w:val="1F4E79" w:themeColor="accent5" w:themeShade="80"/>
          <w:sz w:val="32"/>
          <w:szCs w:val="32"/>
        </w:rPr>
      </w:pPr>
      <w:r w:rsidRPr="00277334">
        <w:rPr>
          <w:rFonts w:ascii="Century Gothic" w:eastAsiaTheme="majorEastAsia" w:hAnsi="Century Gothic"/>
          <w:b/>
          <w:bCs/>
          <w:color w:val="1F4E79" w:themeColor="accent5" w:themeShade="80"/>
          <w:sz w:val="32"/>
          <w:szCs w:val="32"/>
        </w:rPr>
        <w:t>How to Report</w:t>
      </w:r>
    </w:p>
    <w:p w14:paraId="24467AB6" w14:textId="77777777" w:rsidR="003F76FE" w:rsidRPr="00277334" w:rsidRDefault="003F76FE" w:rsidP="002D4423">
      <w:pPr>
        <w:spacing w:line="276" w:lineRule="auto"/>
        <w:rPr>
          <w:rFonts w:asciiTheme="majorHAnsi" w:eastAsiaTheme="majorEastAsia" w:hAnsiTheme="majorHAnsi"/>
          <w:color w:val="auto"/>
          <w:szCs w:val="24"/>
        </w:rPr>
      </w:pPr>
    </w:p>
    <w:p w14:paraId="15F6BC03" w14:textId="7A8D9C25" w:rsidR="00277334" w:rsidRPr="00277334" w:rsidRDefault="00277334" w:rsidP="002D4423">
      <w:pPr>
        <w:numPr>
          <w:ilvl w:val="0"/>
          <w:numId w:val="60"/>
        </w:numPr>
        <w:spacing w:line="276" w:lineRule="auto"/>
        <w:rPr>
          <w:rFonts w:asciiTheme="majorHAnsi" w:eastAsiaTheme="majorEastAsia" w:hAnsiTheme="majorHAnsi"/>
          <w:color w:val="auto"/>
          <w:szCs w:val="24"/>
        </w:rPr>
      </w:pPr>
      <w:r w:rsidRPr="00570BDB">
        <w:rPr>
          <w:rFonts w:asciiTheme="majorHAnsi" w:eastAsiaTheme="majorEastAsia" w:hAnsiTheme="majorHAnsi"/>
          <w:b/>
          <w:bCs/>
          <w:color w:val="1F4E79" w:themeColor="accent5" w:themeShade="80"/>
          <w:szCs w:val="24"/>
        </w:rPr>
        <w:t>Initial Report:</w:t>
      </w:r>
      <w:r w:rsidRPr="00570BDB">
        <w:rPr>
          <w:rFonts w:asciiTheme="majorHAnsi" w:eastAsiaTheme="majorEastAsia" w:hAnsiTheme="majorHAnsi"/>
          <w:color w:val="1F4E79" w:themeColor="accent5" w:themeShade="80"/>
          <w:szCs w:val="24"/>
        </w:rPr>
        <w:t xml:space="preserve"> </w:t>
      </w:r>
      <w:r w:rsidRPr="00277334">
        <w:rPr>
          <w:rFonts w:asciiTheme="majorHAnsi" w:eastAsiaTheme="majorEastAsia" w:hAnsiTheme="majorHAnsi"/>
          <w:color w:val="auto"/>
          <w:szCs w:val="24"/>
        </w:rPr>
        <w:t xml:space="preserve">As soon as a serious incident is identified, it must be reported to the Charity Commission via email at </w:t>
      </w:r>
      <w:hyperlink r:id="rId9" w:history="1">
        <w:r w:rsidR="00570BDB" w:rsidRPr="00FB4FCB">
          <w:rPr>
            <w:rStyle w:val="Hyperlink"/>
            <w:rFonts w:asciiTheme="majorHAnsi" w:eastAsiaTheme="majorEastAsia" w:hAnsiTheme="majorHAnsi"/>
            <w:szCs w:val="24"/>
          </w:rPr>
          <w:t>rsi@charitycommission.gsi.gov.uk</w:t>
        </w:r>
      </w:hyperlink>
      <w:r w:rsidRPr="00277334">
        <w:rPr>
          <w:rFonts w:asciiTheme="majorHAnsi" w:eastAsiaTheme="majorEastAsia" w:hAnsiTheme="majorHAnsi"/>
          <w:color w:val="auto"/>
          <w:szCs w:val="24"/>
        </w:rPr>
        <w:t xml:space="preserve">. The report should include: </w:t>
      </w:r>
    </w:p>
    <w:p w14:paraId="359773B1" w14:textId="77777777" w:rsidR="00277334" w:rsidRPr="00277334" w:rsidRDefault="00277334" w:rsidP="002D4423">
      <w:pPr>
        <w:numPr>
          <w:ilvl w:val="1"/>
          <w:numId w:val="60"/>
        </w:num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What happened.</w:t>
      </w:r>
    </w:p>
    <w:p w14:paraId="0E3E1469" w14:textId="77777777" w:rsidR="00277334" w:rsidRPr="00277334" w:rsidRDefault="00277334" w:rsidP="002D4423">
      <w:pPr>
        <w:numPr>
          <w:ilvl w:val="1"/>
          <w:numId w:val="60"/>
        </w:num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How the charity is dealing with the incident.</w:t>
      </w:r>
    </w:p>
    <w:p w14:paraId="7EA1C214" w14:textId="77777777" w:rsidR="00277334" w:rsidRPr="00277334" w:rsidRDefault="00277334" w:rsidP="002D4423">
      <w:pPr>
        <w:numPr>
          <w:ilvl w:val="1"/>
          <w:numId w:val="60"/>
        </w:numPr>
        <w:spacing w:line="276" w:lineRule="auto"/>
        <w:rPr>
          <w:rFonts w:asciiTheme="majorHAnsi" w:eastAsiaTheme="majorEastAsia" w:hAnsiTheme="majorHAnsi"/>
          <w:color w:val="auto"/>
          <w:szCs w:val="24"/>
        </w:rPr>
      </w:pPr>
      <w:r w:rsidRPr="00277334">
        <w:rPr>
          <w:rFonts w:asciiTheme="majorHAnsi" w:eastAsiaTheme="majorEastAsia" w:hAnsiTheme="majorHAnsi"/>
          <w:color w:val="auto"/>
          <w:szCs w:val="24"/>
        </w:rPr>
        <w:t>Any steps taken to prevent a recurrence.</w:t>
      </w:r>
    </w:p>
    <w:p w14:paraId="1E9F737A" w14:textId="77777777" w:rsidR="00277334" w:rsidRPr="00277334" w:rsidRDefault="00277334" w:rsidP="002D4423">
      <w:pPr>
        <w:numPr>
          <w:ilvl w:val="0"/>
          <w:numId w:val="60"/>
        </w:numPr>
        <w:spacing w:line="276" w:lineRule="auto"/>
        <w:rPr>
          <w:rFonts w:asciiTheme="majorHAnsi" w:eastAsiaTheme="majorEastAsia" w:hAnsiTheme="majorHAnsi"/>
          <w:color w:val="auto"/>
          <w:szCs w:val="24"/>
        </w:rPr>
      </w:pPr>
      <w:r w:rsidRPr="00570BDB">
        <w:rPr>
          <w:rFonts w:asciiTheme="majorHAnsi" w:eastAsiaTheme="majorEastAsia" w:hAnsiTheme="majorHAnsi"/>
          <w:b/>
          <w:bCs/>
          <w:color w:val="1F4E79" w:themeColor="accent5" w:themeShade="80"/>
          <w:szCs w:val="24"/>
        </w:rPr>
        <w:t>Follow-Up Report:</w:t>
      </w:r>
      <w:r w:rsidRPr="00570BDB">
        <w:rPr>
          <w:rFonts w:asciiTheme="majorHAnsi" w:eastAsiaTheme="majorEastAsia" w:hAnsiTheme="majorHAnsi"/>
          <w:color w:val="1F4E79" w:themeColor="accent5" w:themeShade="80"/>
          <w:szCs w:val="24"/>
        </w:rPr>
        <w:t xml:space="preserve"> </w:t>
      </w:r>
      <w:r w:rsidRPr="00277334">
        <w:rPr>
          <w:rFonts w:asciiTheme="majorHAnsi" w:eastAsiaTheme="majorEastAsia" w:hAnsiTheme="majorHAnsi"/>
          <w:color w:val="auto"/>
          <w:szCs w:val="24"/>
        </w:rPr>
        <w:t>Provide updates as the situation develops and when the incident is resolved.</w:t>
      </w:r>
    </w:p>
    <w:p w14:paraId="5B1754E9" w14:textId="77777777" w:rsidR="003F76FE" w:rsidRDefault="003F76FE" w:rsidP="002D4423">
      <w:pPr>
        <w:spacing w:line="276" w:lineRule="auto"/>
        <w:rPr>
          <w:rFonts w:asciiTheme="majorHAnsi" w:eastAsiaTheme="majorEastAsia" w:hAnsiTheme="majorHAnsi"/>
          <w:color w:val="auto"/>
          <w:szCs w:val="24"/>
        </w:rPr>
      </w:pPr>
    </w:p>
    <w:p w14:paraId="32F05080" w14:textId="09B5A0B0" w:rsidR="00277334" w:rsidRPr="00846AE5" w:rsidRDefault="00277334" w:rsidP="002D4423">
      <w:pPr>
        <w:spacing w:line="276" w:lineRule="auto"/>
        <w:rPr>
          <w:rFonts w:ascii="Century Gothic" w:eastAsiaTheme="majorEastAsia" w:hAnsi="Century Gothic" w:cstheme="minorHAnsi"/>
          <w:b/>
          <w:bCs/>
          <w:color w:val="1F4E79" w:themeColor="accent5" w:themeShade="80"/>
          <w:sz w:val="32"/>
          <w:szCs w:val="32"/>
        </w:rPr>
      </w:pPr>
      <w:r w:rsidRPr="00846AE5">
        <w:rPr>
          <w:rFonts w:ascii="Century Gothic" w:eastAsiaTheme="majorEastAsia" w:hAnsi="Century Gothic" w:cstheme="minorHAnsi"/>
          <w:b/>
          <w:bCs/>
          <w:color w:val="1F4E79" w:themeColor="accent5" w:themeShade="80"/>
          <w:sz w:val="32"/>
          <w:szCs w:val="32"/>
        </w:rPr>
        <w:t>Other Reporting</w:t>
      </w:r>
    </w:p>
    <w:p w14:paraId="484D083B" w14:textId="77777777" w:rsidR="00277334" w:rsidRPr="00064A0C" w:rsidRDefault="00277334" w:rsidP="002D4423">
      <w:pPr>
        <w:spacing w:line="276" w:lineRule="auto"/>
        <w:rPr>
          <w:rFonts w:asciiTheme="majorHAnsi" w:eastAsiaTheme="majorEastAsia" w:hAnsiTheme="majorHAnsi" w:cstheme="majorBidi"/>
          <w:color w:val="auto"/>
          <w:szCs w:val="24"/>
        </w:rPr>
      </w:pPr>
    </w:p>
    <w:p w14:paraId="68B69E02" w14:textId="16C64674" w:rsidR="005F5427" w:rsidRDefault="000E2B44" w:rsidP="002D4423">
      <w:pPr>
        <w:spacing w:line="276" w:lineRule="auto"/>
        <w:rPr>
          <w:rFonts w:asciiTheme="majorHAnsi" w:eastAsiaTheme="majorEastAsia" w:hAnsiTheme="majorHAnsi" w:cstheme="majorBidi"/>
          <w:color w:val="auto"/>
          <w:szCs w:val="24"/>
        </w:rPr>
      </w:pPr>
      <w:bookmarkStart w:id="1" w:name="_Hlk177287582"/>
      <w:r w:rsidRPr="000E2B44">
        <w:rPr>
          <w:rFonts w:asciiTheme="majorHAnsi" w:eastAsiaTheme="majorEastAsia" w:hAnsiTheme="majorHAnsi" w:cstheme="majorBidi"/>
          <w:b/>
          <w:bCs/>
          <w:color w:val="1F4E79" w:themeColor="accent5" w:themeShade="80"/>
          <w:szCs w:val="24"/>
        </w:rPr>
        <w:t xml:space="preserve">Emergency Services. </w:t>
      </w:r>
      <w:r w:rsidRPr="000E2B44">
        <w:rPr>
          <w:rFonts w:asciiTheme="majorHAnsi" w:eastAsiaTheme="majorEastAsia" w:hAnsiTheme="majorHAnsi"/>
          <w:color w:val="auto"/>
          <w:szCs w:val="24"/>
        </w:rPr>
        <w:t xml:space="preserve">We would always dial 999 </w:t>
      </w:r>
      <w:r>
        <w:rPr>
          <w:rFonts w:asciiTheme="majorHAnsi" w:eastAsiaTheme="majorEastAsia" w:hAnsiTheme="majorHAnsi"/>
          <w:color w:val="auto"/>
          <w:szCs w:val="24"/>
        </w:rPr>
        <w:t xml:space="preserve">to </w:t>
      </w:r>
      <w:r w:rsidRPr="000E2B44">
        <w:rPr>
          <w:rFonts w:asciiTheme="majorHAnsi" w:eastAsiaTheme="majorEastAsia" w:hAnsiTheme="majorHAnsi"/>
          <w:color w:val="auto"/>
          <w:szCs w:val="24"/>
        </w:rPr>
        <w:t xml:space="preserve">inform the Police and/or emergency services, if there </w:t>
      </w:r>
      <w:r>
        <w:rPr>
          <w:rFonts w:asciiTheme="majorHAnsi" w:eastAsiaTheme="majorEastAsia" w:hAnsiTheme="majorHAnsi"/>
          <w:color w:val="auto"/>
          <w:szCs w:val="24"/>
        </w:rPr>
        <w:t>was</w:t>
      </w:r>
      <w:r w:rsidRPr="000E2B44">
        <w:rPr>
          <w:rFonts w:asciiTheme="majorHAnsi" w:eastAsiaTheme="majorEastAsia" w:hAnsiTheme="majorHAnsi"/>
          <w:color w:val="auto"/>
          <w:szCs w:val="24"/>
        </w:rPr>
        <w:t xml:space="preserve"> an immediate threat of harm or serious damage to property.  We will normally inform the Police in the event of suspected or actual criminal activity, serious injury or death or if an incident poses a significant risk to public safety, such as a bomb threat or large-scale disturbance.</w:t>
      </w:r>
    </w:p>
    <w:p w14:paraId="38E518B4" w14:textId="66BCF402" w:rsidR="00570BDB" w:rsidRDefault="00570BDB" w:rsidP="002D4423">
      <w:pPr>
        <w:spacing w:line="276" w:lineRule="auto"/>
        <w:rPr>
          <w:rFonts w:asciiTheme="majorHAnsi" w:eastAsiaTheme="majorEastAsia" w:hAnsiTheme="majorHAnsi" w:cstheme="majorBidi"/>
          <w:color w:val="auto"/>
          <w:szCs w:val="24"/>
        </w:rPr>
      </w:pPr>
      <w:r w:rsidRPr="00570BDB">
        <w:rPr>
          <w:rFonts w:asciiTheme="majorHAnsi" w:eastAsiaTheme="majorEastAsia" w:hAnsiTheme="majorHAnsi" w:cstheme="majorBidi"/>
          <w:b/>
          <w:bCs/>
          <w:color w:val="1F4E79" w:themeColor="accent5" w:themeShade="80"/>
          <w:szCs w:val="24"/>
        </w:rPr>
        <w:t>Charity.</w:t>
      </w:r>
      <w:r w:rsidRPr="00570BDB">
        <w:rPr>
          <w:rFonts w:asciiTheme="majorHAnsi" w:eastAsiaTheme="majorEastAsia" w:hAnsiTheme="majorHAnsi" w:cstheme="majorBidi"/>
          <w:color w:val="1F4E79" w:themeColor="accent5" w:themeShade="80"/>
          <w:szCs w:val="24"/>
        </w:rPr>
        <w:t xml:space="preserve">  </w:t>
      </w:r>
      <w:r w:rsidR="00277334">
        <w:rPr>
          <w:rFonts w:asciiTheme="majorHAnsi" w:eastAsiaTheme="majorEastAsia" w:hAnsiTheme="majorHAnsi" w:cstheme="majorBidi"/>
          <w:color w:val="auto"/>
          <w:szCs w:val="24"/>
        </w:rPr>
        <w:t xml:space="preserve">All </w:t>
      </w:r>
      <w:r w:rsidR="003F76FE">
        <w:rPr>
          <w:rFonts w:asciiTheme="majorHAnsi" w:eastAsiaTheme="majorEastAsia" w:hAnsiTheme="majorHAnsi" w:cstheme="majorBidi"/>
          <w:color w:val="auto"/>
          <w:szCs w:val="24"/>
        </w:rPr>
        <w:t xml:space="preserve">serious </w:t>
      </w:r>
      <w:r w:rsidR="00277334">
        <w:rPr>
          <w:rFonts w:asciiTheme="majorHAnsi" w:eastAsiaTheme="majorEastAsia" w:hAnsiTheme="majorHAnsi" w:cstheme="majorBidi"/>
          <w:color w:val="auto"/>
          <w:szCs w:val="24"/>
        </w:rPr>
        <w:t xml:space="preserve">incidents and any that might </w:t>
      </w:r>
      <w:r w:rsidR="003F76FE">
        <w:rPr>
          <w:rFonts w:asciiTheme="majorHAnsi" w:eastAsiaTheme="majorEastAsia" w:hAnsiTheme="majorHAnsi" w:cstheme="majorBidi"/>
          <w:color w:val="auto"/>
          <w:szCs w:val="24"/>
        </w:rPr>
        <w:t xml:space="preserve">be criminal in </w:t>
      </w:r>
      <w:r>
        <w:rPr>
          <w:rFonts w:asciiTheme="majorHAnsi" w:eastAsiaTheme="majorEastAsia" w:hAnsiTheme="majorHAnsi" w:cstheme="majorBidi"/>
          <w:color w:val="auto"/>
          <w:szCs w:val="24"/>
        </w:rPr>
        <w:t>nature or</w:t>
      </w:r>
      <w:r w:rsidR="003F76FE">
        <w:rPr>
          <w:rFonts w:asciiTheme="majorHAnsi" w:eastAsiaTheme="majorEastAsia" w:hAnsiTheme="majorHAnsi" w:cstheme="majorBidi"/>
          <w:color w:val="auto"/>
          <w:szCs w:val="24"/>
        </w:rPr>
        <w:t xml:space="preserve"> </w:t>
      </w:r>
      <w:r w:rsidR="00277334">
        <w:rPr>
          <w:rFonts w:asciiTheme="majorHAnsi" w:eastAsiaTheme="majorEastAsia" w:hAnsiTheme="majorHAnsi" w:cstheme="majorBidi"/>
          <w:color w:val="auto"/>
          <w:szCs w:val="24"/>
        </w:rPr>
        <w:t xml:space="preserve">result in a claim or complaint are to be reported to the Board and our insurers. </w:t>
      </w:r>
      <w:r w:rsidR="00AF155F">
        <w:rPr>
          <w:rFonts w:asciiTheme="majorHAnsi" w:eastAsiaTheme="majorEastAsia" w:hAnsiTheme="majorHAnsi" w:cstheme="majorBidi"/>
          <w:color w:val="auto"/>
          <w:szCs w:val="24"/>
        </w:rPr>
        <w:t xml:space="preserve">We will seek advice from professional advisers, where appropriate to do so. </w:t>
      </w:r>
    </w:p>
    <w:p w14:paraId="197F9C36" w14:textId="77777777" w:rsidR="00570BDB" w:rsidRDefault="00570BDB" w:rsidP="002D4423">
      <w:pPr>
        <w:spacing w:line="276" w:lineRule="auto"/>
        <w:rPr>
          <w:rFonts w:asciiTheme="majorHAnsi" w:eastAsiaTheme="majorEastAsia" w:hAnsiTheme="majorHAnsi" w:cstheme="majorBidi"/>
          <w:color w:val="auto"/>
          <w:szCs w:val="24"/>
        </w:rPr>
      </w:pPr>
    </w:p>
    <w:p w14:paraId="4E418F15" w14:textId="0C21E707" w:rsidR="00277334" w:rsidRDefault="00570BDB" w:rsidP="002D4423">
      <w:pPr>
        <w:spacing w:line="276" w:lineRule="auto"/>
        <w:rPr>
          <w:rFonts w:asciiTheme="majorHAnsi" w:eastAsiaTheme="majorEastAsia" w:hAnsiTheme="majorHAnsi" w:cstheme="majorBidi"/>
          <w:color w:val="auto"/>
          <w:szCs w:val="24"/>
        </w:rPr>
      </w:pPr>
      <w:r w:rsidRPr="00570BDB">
        <w:rPr>
          <w:rFonts w:asciiTheme="majorHAnsi" w:eastAsiaTheme="majorEastAsia" w:hAnsiTheme="majorHAnsi" w:cstheme="majorBidi"/>
          <w:b/>
          <w:bCs/>
          <w:color w:val="1F4E79" w:themeColor="accent5" w:themeShade="80"/>
          <w:szCs w:val="24"/>
        </w:rPr>
        <w:t>Other Regulators.</w:t>
      </w:r>
      <w:r w:rsidRPr="00570BDB">
        <w:rPr>
          <w:rFonts w:asciiTheme="majorHAnsi" w:eastAsiaTheme="majorEastAsia" w:hAnsiTheme="majorHAnsi" w:cstheme="majorBidi"/>
          <w:color w:val="1F4E79" w:themeColor="accent5" w:themeShade="80"/>
          <w:szCs w:val="24"/>
        </w:rPr>
        <w:t xml:space="preserve">  </w:t>
      </w:r>
      <w:r w:rsidR="00277334">
        <w:rPr>
          <w:rFonts w:asciiTheme="majorHAnsi" w:eastAsiaTheme="majorEastAsia" w:hAnsiTheme="majorHAnsi" w:cstheme="majorBidi"/>
          <w:color w:val="auto"/>
          <w:szCs w:val="24"/>
        </w:rPr>
        <w:t xml:space="preserve">In addition, there may be a requirement </w:t>
      </w:r>
      <w:r w:rsidR="00277334" w:rsidRPr="00500453">
        <w:rPr>
          <w:rFonts w:asciiTheme="majorHAnsi" w:eastAsiaTheme="majorEastAsia" w:hAnsiTheme="majorHAnsi" w:cstheme="majorBidi"/>
          <w:color w:val="auto"/>
          <w:szCs w:val="24"/>
        </w:rPr>
        <w:t>to notify other UK regulators depending on the nature of the incident</w:t>
      </w:r>
      <w:r w:rsidR="00277334">
        <w:rPr>
          <w:rFonts w:asciiTheme="majorHAnsi" w:eastAsiaTheme="majorEastAsia" w:hAnsiTheme="majorHAnsi" w:cstheme="majorBidi"/>
          <w:color w:val="auto"/>
          <w:szCs w:val="24"/>
        </w:rPr>
        <w:t xml:space="preserve">. Below is a non-exhaustive list of some. </w:t>
      </w:r>
    </w:p>
    <w:p w14:paraId="441AF5B1" w14:textId="77777777" w:rsidR="00277334" w:rsidRPr="00500453" w:rsidRDefault="00277334" w:rsidP="002D4423">
      <w:pPr>
        <w:spacing w:line="276" w:lineRule="auto"/>
        <w:rPr>
          <w:rFonts w:asciiTheme="majorHAnsi" w:eastAsiaTheme="majorEastAsia" w:hAnsiTheme="majorHAnsi" w:cstheme="majorBidi"/>
          <w:color w:val="auto"/>
          <w:szCs w:val="24"/>
        </w:rPr>
      </w:pPr>
    </w:p>
    <w:p w14:paraId="1A4219B8" w14:textId="6D4EB285" w:rsidR="00875B71" w:rsidRPr="00875B71" w:rsidRDefault="00875B71" w:rsidP="002D4423">
      <w:pPr>
        <w:numPr>
          <w:ilvl w:val="0"/>
          <w:numId w:val="62"/>
        </w:numPr>
        <w:spacing w:line="276" w:lineRule="auto"/>
        <w:rPr>
          <w:rFonts w:asciiTheme="majorHAnsi" w:eastAsiaTheme="majorEastAsia" w:hAnsiTheme="majorHAnsi" w:cstheme="majorBidi"/>
          <w:color w:val="auto"/>
          <w:szCs w:val="24"/>
          <w:highlight w:val="yellow"/>
        </w:rPr>
      </w:pPr>
      <w:r w:rsidRPr="0003388F">
        <w:rPr>
          <w:rFonts w:asciiTheme="majorHAnsi" w:eastAsiaTheme="majorEastAsia" w:hAnsiTheme="majorHAnsi" w:cstheme="majorBidi"/>
          <w:b/>
          <w:bCs/>
          <w:color w:val="1F4E79" w:themeColor="accent5" w:themeShade="80"/>
          <w:szCs w:val="24"/>
          <w:highlight w:val="yellow"/>
        </w:rPr>
        <w:t>ICO</w:t>
      </w:r>
      <w:r>
        <w:rPr>
          <w:rFonts w:asciiTheme="majorHAnsi" w:eastAsiaTheme="majorEastAsia" w:hAnsiTheme="majorHAnsi" w:cstheme="majorBidi"/>
          <w:color w:val="auto"/>
          <w:szCs w:val="24"/>
          <w:highlight w:val="yellow"/>
        </w:rPr>
        <w:t xml:space="preserve"> – </w:t>
      </w:r>
      <w:hyperlink r:id="rId10" w:history="1">
        <w:r w:rsidRPr="00875B71">
          <w:rPr>
            <w:rStyle w:val="Hyperlink"/>
            <w:rFonts w:asciiTheme="majorHAnsi" w:eastAsiaTheme="majorEastAsia" w:hAnsiTheme="majorHAnsi" w:cstheme="majorBidi"/>
            <w:szCs w:val="24"/>
            <w:highlight w:val="yellow"/>
          </w:rPr>
          <w:t>data breach self-assessment</w:t>
        </w:r>
      </w:hyperlink>
      <w:r>
        <w:rPr>
          <w:rFonts w:asciiTheme="majorHAnsi" w:eastAsiaTheme="majorEastAsia" w:hAnsiTheme="majorHAnsi" w:cstheme="majorBidi"/>
          <w:color w:val="auto"/>
          <w:szCs w:val="24"/>
          <w:highlight w:val="yellow"/>
        </w:rPr>
        <w:t xml:space="preserve">, including requirement to report.  </w:t>
      </w:r>
    </w:p>
    <w:p w14:paraId="595051B4" w14:textId="458BAB94" w:rsidR="00277334" w:rsidRPr="00A275CA" w:rsidRDefault="00277334" w:rsidP="002D4423">
      <w:pPr>
        <w:numPr>
          <w:ilvl w:val="0"/>
          <w:numId w:val="62"/>
        </w:numPr>
        <w:spacing w:line="276" w:lineRule="auto"/>
        <w:rPr>
          <w:rFonts w:asciiTheme="majorHAnsi" w:eastAsiaTheme="majorEastAsia" w:hAnsiTheme="majorHAnsi" w:cstheme="majorBidi"/>
          <w:color w:val="auto"/>
          <w:szCs w:val="24"/>
          <w:highlight w:val="yellow"/>
        </w:rPr>
      </w:pPr>
      <w:r w:rsidRPr="00A275CA">
        <w:rPr>
          <w:rFonts w:asciiTheme="majorHAnsi" w:eastAsiaTheme="majorEastAsia" w:hAnsiTheme="majorHAnsi" w:cstheme="majorBidi"/>
          <w:b/>
          <w:bCs/>
          <w:color w:val="1F4E79" w:themeColor="accent5" w:themeShade="80"/>
          <w:szCs w:val="24"/>
          <w:highlight w:val="yellow"/>
        </w:rPr>
        <w:t>Disclosure and Barring Service (DBS)</w:t>
      </w:r>
      <w:r w:rsidRPr="00A275CA">
        <w:rPr>
          <w:rFonts w:asciiTheme="majorHAnsi" w:eastAsiaTheme="majorEastAsia" w:hAnsiTheme="majorHAnsi" w:cstheme="majorBidi"/>
          <w:color w:val="1F4E79" w:themeColor="accent5" w:themeShade="80"/>
          <w:szCs w:val="24"/>
          <w:highlight w:val="yellow"/>
        </w:rPr>
        <w:t xml:space="preserve">: </w:t>
      </w:r>
      <w:r w:rsidRPr="00A275CA">
        <w:rPr>
          <w:rFonts w:asciiTheme="majorHAnsi" w:eastAsiaTheme="majorEastAsia" w:hAnsiTheme="majorHAnsi" w:cstheme="majorBidi"/>
          <w:color w:val="auto"/>
          <w:szCs w:val="24"/>
          <w:highlight w:val="yellow"/>
        </w:rPr>
        <w:t>if an individual has been dismissed or removed from working with children or vulnerable adults (or would have been if they had not left first) because they harmed or posed a risk of harm or there are concerns that an individual may pose a risk of harm to children or vulnerable adults.</w:t>
      </w:r>
    </w:p>
    <w:p w14:paraId="795B4E63" w14:textId="77777777" w:rsidR="00277334" w:rsidRPr="00A275CA" w:rsidRDefault="00277334" w:rsidP="002D4423">
      <w:pPr>
        <w:numPr>
          <w:ilvl w:val="0"/>
          <w:numId w:val="62"/>
        </w:numPr>
        <w:spacing w:line="276" w:lineRule="auto"/>
        <w:rPr>
          <w:rFonts w:asciiTheme="majorHAnsi" w:eastAsiaTheme="majorEastAsia" w:hAnsiTheme="majorHAnsi" w:cstheme="majorBidi"/>
          <w:color w:val="auto"/>
          <w:szCs w:val="24"/>
          <w:highlight w:val="yellow"/>
        </w:rPr>
      </w:pPr>
      <w:r w:rsidRPr="00A275CA">
        <w:rPr>
          <w:rFonts w:asciiTheme="majorHAnsi" w:eastAsiaTheme="majorEastAsia" w:hAnsiTheme="majorHAnsi" w:cstheme="majorBidi"/>
          <w:b/>
          <w:bCs/>
          <w:color w:val="1F4E79" w:themeColor="accent5" w:themeShade="80"/>
          <w:szCs w:val="24"/>
          <w:highlight w:val="yellow"/>
        </w:rPr>
        <w:t>Local Authority Environmental Health Department</w:t>
      </w:r>
      <w:r w:rsidRPr="00A275CA">
        <w:rPr>
          <w:rFonts w:asciiTheme="majorHAnsi" w:eastAsiaTheme="majorEastAsia" w:hAnsiTheme="majorHAnsi" w:cstheme="majorBidi"/>
          <w:color w:val="1F4E79" w:themeColor="accent5" w:themeShade="80"/>
          <w:szCs w:val="24"/>
          <w:highlight w:val="yellow"/>
        </w:rPr>
        <w:t xml:space="preserve">: </w:t>
      </w:r>
      <w:r w:rsidRPr="00A275CA">
        <w:rPr>
          <w:rFonts w:asciiTheme="majorHAnsi" w:eastAsiaTheme="majorEastAsia" w:hAnsiTheme="majorHAnsi" w:cstheme="majorBidi"/>
          <w:color w:val="auto"/>
          <w:szCs w:val="24"/>
          <w:highlight w:val="yellow"/>
        </w:rPr>
        <w:t>For incidents in certain sectors like retail, warehousing, and offices.</w:t>
      </w:r>
    </w:p>
    <w:p w14:paraId="3EDB30AA" w14:textId="77777777" w:rsidR="00277334" w:rsidRPr="00A275CA" w:rsidRDefault="00277334" w:rsidP="002D4423">
      <w:pPr>
        <w:numPr>
          <w:ilvl w:val="0"/>
          <w:numId w:val="62"/>
        </w:numPr>
        <w:spacing w:line="276" w:lineRule="auto"/>
        <w:rPr>
          <w:rFonts w:asciiTheme="majorHAnsi" w:eastAsiaTheme="majorEastAsia" w:hAnsiTheme="majorHAnsi" w:cstheme="majorBidi"/>
          <w:color w:val="auto"/>
          <w:szCs w:val="24"/>
          <w:highlight w:val="yellow"/>
        </w:rPr>
      </w:pPr>
      <w:r w:rsidRPr="00A275CA">
        <w:rPr>
          <w:rFonts w:asciiTheme="majorHAnsi" w:eastAsiaTheme="majorEastAsia" w:hAnsiTheme="majorHAnsi" w:cstheme="majorBidi"/>
          <w:b/>
          <w:bCs/>
          <w:color w:val="1F4E79" w:themeColor="accent5" w:themeShade="80"/>
          <w:szCs w:val="24"/>
          <w:highlight w:val="yellow"/>
        </w:rPr>
        <w:lastRenderedPageBreak/>
        <w:t>Care Quality Commission (CQC)</w:t>
      </w:r>
      <w:r w:rsidRPr="00A275CA">
        <w:rPr>
          <w:rFonts w:asciiTheme="majorHAnsi" w:eastAsiaTheme="majorEastAsia" w:hAnsiTheme="majorHAnsi" w:cstheme="majorBidi"/>
          <w:color w:val="1F4E79" w:themeColor="accent5" w:themeShade="80"/>
          <w:szCs w:val="24"/>
          <w:highlight w:val="yellow"/>
        </w:rPr>
        <w:t xml:space="preserve">: </w:t>
      </w:r>
      <w:r w:rsidRPr="00A275CA">
        <w:rPr>
          <w:rFonts w:asciiTheme="majorHAnsi" w:eastAsiaTheme="majorEastAsia" w:hAnsiTheme="majorHAnsi" w:cstheme="majorBidi"/>
          <w:color w:val="auto"/>
          <w:szCs w:val="24"/>
          <w:highlight w:val="yellow"/>
        </w:rPr>
        <w:t>If the incident occurs in a healthcare setting, such as a hospital, care home, or clinic.</w:t>
      </w:r>
    </w:p>
    <w:p w14:paraId="79E6B79B" w14:textId="77777777" w:rsidR="00277334" w:rsidRPr="00A275CA" w:rsidRDefault="00277334" w:rsidP="002D4423">
      <w:pPr>
        <w:numPr>
          <w:ilvl w:val="0"/>
          <w:numId w:val="62"/>
        </w:numPr>
        <w:spacing w:line="276" w:lineRule="auto"/>
        <w:rPr>
          <w:rFonts w:asciiTheme="majorHAnsi" w:eastAsiaTheme="majorEastAsia" w:hAnsiTheme="majorHAnsi" w:cstheme="majorBidi"/>
          <w:color w:val="auto"/>
          <w:szCs w:val="24"/>
          <w:highlight w:val="yellow"/>
        </w:rPr>
      </w:pPr>
      <w:r w:rsidRPr="00A275CA">
        <w:rPr>
          <w:rFonts w:asciiTheme="majorHAnsi" w:eastAsiaTheme="majorEastAsia" w:hAnsiTheme="majorHAnsi" w:cstheme="majorBidi"/>
          <w:b/>
          <w:bCs/>
          <w:color w:val="1F4E79" w:themeColor="accent5" w:themeShade="80"/>
          <w:szCs w:val="24"/>
          <w:highlight w:val="yellow"/>
        </w:rPr>
        <w:t>Ofsted (Office for Standards in Education, Children’s Services and Skills):</w:t>
      </w:r>
      <w:r w:rsidRPr="00A275CA">
        <w:rPr>
          <w:rFonts w:asciiTheme="majorHAnsi" w:eastAsiaTheme="majorEastAsia" w:hAnsiTheme="majorHAnsi" w:cstheme="majorBidi"/>
          <w:color w:val="1F4E79" w:themeColor="accent5" w:themeShade="80"/>
          <w:szCs w:val="24"/>
          <w:highlight w:val="yellow"/>
        </w:rPr>
        <w:t xml:space="preserve"> </w:t>
      </w:r>
      <w:r w:rsidRPr="00A275CA">
        <w:rPr>
          <w:rFonts w:asciiTheme="majorHAnsi" w:eastAsiaTheme="majorEastAsia" w:hAnsiTheme="majorHAnsi" w:cstheme="majorBidi"/>
          <w:color w:val="auto"/>
          <w:szCs w:val="24"/>
          <w:highlight w:val="yellow"/>
        </w:rPr>
        <w:t>If the incident involves safeguarding issues or affects the welfare of children and young people.</w:t>
      </w:r>
    </w:p>
    <w:p w14:paraId="231EAAF3" w14:textId="77777777" w:rsidR="00277334" w:rsidRPr="00A275CA" w:rsidRDefault="00277334" w:rsidP="002D4423">
      <w:pPr>
        <w:numPr>
          <w:ilvl w:val="0"/>
          <w:numId w:val="62"/>
        </w:numPr>
        <w:spacing w:line="276" w:lineRule="auto"/>
        <w:rPr>
          <w:rFonts w:asciiTheme="majorHAnsi" w:eastAsiaTheme="majorEastAsia" w:hAnsiTheme="majorHAnsi" w:cstheme="majorBidi"/>
          <w:color w:val="auto"/>
          <w:szCs w:val="24"/>
          <w:highlight w:val="yellow"/>
        </w:rPr>
      </w:pPr>
      <w:r w:rsidRPr="00A275CA">
        <w:rPr>
          <w:rFonts w:asciiTheme="majorHAnsi" w:eastAsiaTheme="majorEastAsia" w:hAnsiTheme="majorHAnsi" w:cstheme="majorBidi"/>
          <w:b/>
          <w:bCs/>
          <w:color w:val="1F4E79" w:themeColor="accent5" w:themeShade="80"/>
          <w:szCs w:val="24"/>
          <w:highlight w:val="yellow"/>
        </w:rPr>
        <w:t>Department for Education (DfE):</w:t>
      </w:r>
      <w:r w:rsidRPr="00A275CA">
        <w:rPr>
          <w:rFonts w:asciiTheme="majorHAnsi" w:eastAsiaTheme="majorEastAsia" w:hAnsiTheme="majorHAnsi" w:cstheme="majorBidi"/>
          <w:color w:val="1F4E79" w:themeColor="accent5" w:themeShade="80"/>
          <w:szCs w:val="24"/>
          <w:highlight w:val="yellow"/>
        </w:rPr>
        <w:t xml:space="preserve"> </w:t>
      </w:r>
      <w:r w:rsidRPr="00A275CA">
        <w:rPr>
          <w:rFonts w:asciiTheme="majorHAnsi" w:eastAsiaTheme="majorEastAsia" w:hAnsiTheme="majorHAnsi" w:cstheme="majorBidi"/>
          <w:color w:val="auto"/>
          <w:szCs w:val="24"/>
          <w:highlight w:val="yellow"/>
        </w:rPr>
        <w:t>For significant incidents that may impact the operation of educational institutions.</w:t>
      </w:r>
    </w:p>
    <w:p w14:paraId="6A90E6A5" w14:textId="77777777" w:rsidR="00277334" w:rsidRPr="00A275CA" w:rsidRDefault="00277334" w:rsidP="002D4423">
      <w:pPr>
        <w:numPr>
          <w:ilvl w:val="0"/>
          <w:numId w:val="62"/>
        </w:numPr>
        <w:spacing w:line="276" w:lineRule="auto"/>
        <w:rPr>
          <w:rFonts w:asciiTheme="majorHAnsi" w:eastAsiaTheme="majorEastAsia" w:hAnsiTheme="majorHAnsi" w:cstheme="majorBidi"/>
          <w:color w:val="auto"/>
          <w:szCs w:val="24"/>
          <w:highlight w:val="yellow"/>
        </w:rPr>
      </w:pPr>
      <w:r w:rsidRPr="00A275CA">
        <w:rPr>
          <w:rFonts w:asciiTheme="majorHAnsi" w:eastAsiaTheme="majorEastAsia" w:hAnsiTheme="majorHAnsi" w:cstheme="majorBidi"/>
          <w:b/>
          <w:bCs/>
          <w:color w:val="1F4E79" w:themeColor="accent5" w:themeShade="80"/>
          <w:szCs w:val="24"/>
          <w:highlight w:val="yellow"/>
        </w:rPr>
        <w:t>Environment Agency</w:t>
      </w:r>
      <w:r w:rsidRPr="00A275CA">
        <w:rPr>
          <w:rFonts w:asciiTheme="majorHAnsi" w:eastAsiaTheme="majorEastAsia" w:hAnsiTheme="majorHAnsi" w:cstheme="majorBidi"/>
          <w:color w:val="1F4E79" w:themeColor="accent5" w:themeShade="80"/>
          <w:szCs w:val="24"/>
          <w:highlight w:val="yellow"/>
        </w:rPr>
        <w:t xml:space="preserve">: </w:t>
      </w:r>
      <w:r w:rsidRPr="00A275CA">
        <w:rPr>
          <w:rFonts w:asciiTheme="majorHAnsi" w:eastAsiaTheme="majorEastAsia" w:hAnsiTheme="majorHAnsi" w:cstheme="majorBidi"/>
          <w:color w:val="auto"/>
          <w:szCs w:val="24"/>
          <w:highlight w:val="yellow"/>
        </w:rPr>
        <w:t>For incidents that may have caused environmental harm, such as chemical spills.</w:t>
      </w:r>
    </w:p>
    <w:p w14:paraId="53ED34E3" w14:textId="77777777" w:rsidR="00277334" w:rsidRPr="00A275CA" w:rsidRDefault="00277334" w:rsidP="002D4423">
      <w:pPr>
        <w:numPr>
          <w:ilvl w:val="0"/>
          <w:numId w:val="62"/>
        </w:numPr>
        <w:spacing w:line="276" w:lineRule="auto"/>
        <w:rPr>
          <w:rFonts w:asciiTheme="majorHAnsi" w:eastAsiaTheme="majorEastAsia" w:hAnsiTheme="majorHAnsi" w:cstheme="majorBidi"/>
          <w:color w:val="auto"/>
          <w:szCs w:val="24"/>
          <w:highlight w:val="yellow"/>
        </w:rPr>
      </w:pPr>
      <w:r w:rsidRPr="00A275CA">
        <w:rPr>
          <w:rFonts w:asciiTheme="majorHAnsi" w:eastAsiaTheme="majorEastAsia" w:hAnsiTheme="majorHAnsi" w:cstheme="majorBidi"/>
          <w:b/>
          <w:bCs/>
          <w:color w:val="1F4E79" w:themeColor="accent5" w:themeShade="80"/>
          <w:szCs w:val="24"/>
          <w:highlight w:val="yellow"/>
        </w:rPr>
        <w:t>Animal and Plant Health Agency (APHA):</w:t>
      </w:r>
      <w:r w:rsidRPr="00A275CA">
        <w:rPr>
          <w:rFonts w:asciiTheme="majorHAnsi" w:eastAsiaTheme="majorEastAsia" w:hAnsiTheme="majorHAnsi" w:cstheme="majorBidi"/>
          <w:color w:val="1F4E79" w:themeColor="accent5" w:themeShade="80"/>
          <w:szCs w:val="24"/>
          <w:highlight w:val="yellow"/>
        </w:rPr>
        <w:t xml:space="preserve"> </w:t>
      </w:r>
      <w:r w:rsidRPr="00A275CA">
        <w:rPr>
          <w:rFonts w:asciiTheme="majorHAnsi" w:eastAsiaTheme="majorEastAsia" w:hAnsiTheme="majorHAnsi" w:cstheme="majorBidi"/>
          <w:color w:val="auto"/>
          <w:szCs w:val="24"/>
          <w:highlight w:val="yellow"/>
        </w:rPr>
        <w:t>For incidents involving animal welfare, diseases, or biosecurity.</w:t>
      </w:r>
    </w:p>
    <w:bookmarkEnd w:id="1"/>
    <w:p w14:paraId="4E12C659" w14:textId="7D9EA087" w:rsidR="00277334" w:rsidRDefault="00277334" w:rsidP="002D4423">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875E39">
        <w:rPr>
          <w:rFonts w:ascii="Century Gothic" w:hAnsi="Century Gothic"/>
          <w:b/>
          <w:bCs/>
          <w:color w:val="1F4E79" w:themeColor="accent5" w:themeShade="80"/>
          <w:sz w:val="32"/>
          <w:szCs w:val="32"/>
        </w:rPr>
        <w:t>Version Control - Approval and Review</w:t>
      </w:r>
    </w:p>
    <w:p w14:paraId="0DD6A5DE" w14:textId="4C989A4A" w:rsidR="001B7495" w:rsidRDefault="001B7495" w:rsidP="002D44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37369FC3" w14:textId="77777777" w:rsidR="001B7495" w:rsidRPr="001B7495" w:rsidRDefault="001B7495" w:rsidP="002D44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277334" w14:paraId="1A6DEA35" w14:textId="77777777" w:rsidTr="002C2766">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1503506" w14:textId="77777777" w:rsidR="00277334" w:rsidRPr="00EE644F" w:rsidRDefault="00277334" w:rsidP="002D4423">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D0F0836" w14:textId="77777777" w:rsidR="00277334" w:rsidRPr="00EE644F" w:rsidRDefault="00277334" w:rsidP="002D4423">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4BAE214" w14:textId="77777777" w:rsidR="00277334" w:rsidRPr="00EE644F" w:rsidRDefault="00277334" w:rsidP="002D4423">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07FC04E" w14:textId="77777777" w:rsidR="00277334" w:rsidRPr="00EE644F" w:rsidRDefault="00277334" w:rsidP="002D4423">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0013C2B" w14:textId="77777777" w:rsidR="00277334" w:rsidRPr="00EE644F" w:rsidRDefault="00277334" w:rsidP="002D4423">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277334" w14:paraId="06FEB55A" w14:textId="77777777" w:rsidTr="002C2766">
        <w:tc>
          <w:tcPr>
            <w:tcW w:w="987" w:type="dxa"/>
            <w:tcBorders>
              <w:top w:val="single" w:sz="4" w:space="0" w:color="auto"/>
              <w:left w:val="single" w:sz="4" w:space="0" w:color="auto"/>
              <w:bottom w:val="single" w:sz="4" w:space="0" w:color="auto"/>
              <w:right w:val="single" w:sz="4" w:space="0" w:color="auto"/>
            </w:tcBorders>
            <w:vAlign w:val="center"/>
            <w:hideMark/>
          </w:tcPr>
          <w:p w14:paraId="05BEA9A8" w14:textId="77777777" w:rsidR="00277334" w:rsidRPr="006F3AE5" w:rsidRDefault="00277334" w:rsidP="002D4423">
            <w:pPr>
              <w:spacing w:line="276" w:lineRule="auto"/>
              <w:jc w:val="center"/>
              <w:rPr>
                <w:rFonts w:asciiTheme="majorHAnsi" w:hAnsiTheme="majorHAnsi"/>
                <w:color w:val="auto"/>
              </w:rPr>
            </w:pPr>
            <w:r w:rsidRPr="006F3AE5">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F408F" w14:textId="77777777" w:rsidR="00277334" w:rsidRPr="006F3AE5" w:rsidRDefault="00277334" w:rsidP="002D4423">
            <w:pPr>
              <w:spacing w:line="276" w:lineRule="auto"/>
              <w:jc w:val="center"/>
              <w:rPr>
                <w:rFonts w:asciiTheme="majorHAnsi" w:hAnsiTheme="majorHAnsi"/>
                <w:color w:val="auto"/>
              </w:rPr>
            </w:pPr>
            <w:r w:rsidRPr="006F3AE5">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DCA66E" w14:textId="3D029580" w:rsidR="00277334" w:rsidRPr="006F3AE5" w:rsidRDefault="00277334" w:rsidP="002D4423">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5E9CD2A" w14:textId="77777777" w:rsidR="00277334" w:rsidRPr="006F3AE5" w:rsidRDefault="00277334" w:rsidP="002D4423">
            <w:pPr>
              <w:spacing w:line="276" w:lineRule="auto"/>
              <w:jc w:val="center"/>
              <w:rPr>
                <w:rFonts w:asciiTheme="majorHAnsi" w:hAnsiTheme="majorHAnsi"/>
                <w:color w:val="auto"/>
              </w:rPr>
            </w:pPr>
            <w:r w:rsidRPr="006F3AE5">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7079D5" w14:textId="77777777" w:rsidR="00277334" w:rsidRPr="006F3AE5" w:rsidRDefault="00277334" w:rsidP="002D4423">
            <w:pPr>
              <w:spacing w:line="276" w:lineRule="auto"/>
              <w:jc w:val="center"/>
              <w:rPr>
                <w:rFonts w:asciiTheme="majorHAnsi" w:hAnsiTheme="majorHAnsi"/>
                <w:color w:val="auto"/>
              </w:rPr>
            </w:pPr>
            <w:r w:rsidRPr="006F3AE5">
              <w:rPr>
                <w:rFonts w:asciiTheme="majorHAnsi" w:hAnsiTheme="majorHAnsi"/>
                <w:color w:val="auto"/>
              </w:rPr>
              <w:t>Annually</w:t>
            </w:r>
          </w:p>
        </w:tc>
      </w:tr>
      <w:tr w:rsidR="00277334" w14:paraId="5F1A5790" w14:textId="77777777" w:rsidTr="002C2766">
        <w:tc>
          <w:tcPr>
            <w:tcW w:w="987" w:type="dxa"/>
            <w:tcBorders>
              <w:top w:val="single" w:sz="4" w:space="0" w:color="auto"/>
              <w:left w:val="single" w:sz="4" w:space="0" w:color="auto"/>
              <w:bottom w:val="single" w:sz="4" w:space="0" w:color="auto"/>
              <w:right w:val="single" w:sz="4" w:space="0" w:color="auto"/>
            </w:tcBorders>
            <w:vAlign w:val="center"/>
          </w:tcPr>
          <w:p w14:paraId="747FF06B" w14:textId="77777777" w:rsidR="00277334" w:rsidRPr="006F3AE5" w:rsidRDefault="00277334" w:rsidP="002D4423">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6B3737F2" w14:textId="77777777" w:rsidR="00277334" w:rsidRPr="006F3AE5" w:rsidRDefault="00277334" w:rsidP="002D4423">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06A4184" w14:textId="77777777" w:rsidR="00277334" w:rsidRPr="006F3AE5" w:rsidRDefault="00277334" w:rsidP="002D4423">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7602F82" w14:textId="77777777" w:rsidR="00277334" w:rsidRPr="006F3AE5" w:rsidRDefault="00277334" w:rsidP="002D4423">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00B5DCD" w14:textId="77777777" w:rsidR="00277334" w:rsidRPr="006F3AE5" w:rsidRDefault="00277334" w:rsidP="002D4423">
            <w:pPr>
              <w:spacing w:line="276" w:lineRule="auto"/>
              <w:jc w:val="center"/>
              <w:rPr>
                <w:rFonts w:asciiTheme="majorHAnsi" w:hAnsiTheme="majorHAnsi"/>
                <w:color w:val="auto"/>
              </w:rPr>
            </w:pPr>
          </w:p>
        </w:tc>
      </w:tr>
      <w:tr w:rsidR="00277334" w14:paraId="06196B57" w14:textId="77777777" w:rsidTr="002C2766">
        <w:tc>
          <w:tcPr>
            <w:tcW w:w="987" w:type="dxa"/>
            <w:tcBorders>
              <w:top w:val="single" w:sz="4" w:space="0" w:color="auto"/>
              <w:left w:val="single" w:sz="4" w:space="0" w:color="auto"/>
              <w:bottom w:val="single" w:sz="4" w:space="0" w:color="auto"/>
              <w:right w:val="single" w:sz="4" w:space="0" w:color="auto"/>
            </w:tcBorders>
            <w:vAlign w:val="center"/>
          </w:tcPr>
          <w:p w14:paraId="109E2434" w14:textId="77777777" w:rsidR="00277334" w:rsidRPr="00EE644F" w:rsidRDefault="00277334" w:rsidP="002D4423">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1DDFA028" w14:textId="77777777" w:rsidR="00277334" w:rsidRPr="00EE644F" w:rsidRDefault="00277334" w:rsidP="002D4423">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270FDA07" w14:textId="77777777" w:rsidR="00277334" w:rsidRPr="00EE644F" w:rsidRDefault="00277334" w:rsidP="002D4423">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262BFA90" w14:textId="77777777" w:rsidR="00277334" w:rsidRPr="00EE644F" w:rsidRDefault="00277334" w:rsidP="002D4423">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0382CC0" w14:textId="77777777" w:rsidR="00277334" w:rsidRPr="00EE644F" w:rsidRDefault="00277334" w:rsidP="002D4423">
            <w:pPr>
              <w:spacing w:line="276" w:lineRule="auto"/>
              <w:jc w:val="center"/>
              <w:rPr>
                <w:rFonts w:ascii="Corbel Light" w:hAnsi="Corbel Light"/>
                <w:color w:val="auto"/>
              </w:rPr>
            </w:pPr>
          </w:p>
        </w:tc>
      </w:tr>
    </w:tbl>
    <w:p w14:paraId="183794D1" w14:textId="77777777" w:rsidR="00277334" w:rsidRDefault="00277334" w:rsidP="002D4423">
      <w:pPr>
        <w:spacing w:line="276" w:lineRule="auto"/>
        <w:rPr>
          <w:rFonts w:ascii="Century Gothic" w:eastAsiaTheme="majorEastAsia" w:hAnsi="Century Gothic" w:cstheme="minorHAnsi"/>
          <w:b/>
          <w:bCs/>
          <w:color w:val="1F4E79" w:themeColor="accent5" w:themeShade="80"/>
          <w:sz w:val="32"/>
          <w:szCs w:val="32"/>
        </w:rPr>
      </w:pPr>
    </w:p>
    <w:p w14:paraId="2B98EAB7" w14:textId="77777777" w:rsidR="00277334" w:rsidRPr="00846AE5" w:rsidRDefault="00277334" w:rsidP="002D4423">
      <w:pPr>
        <w:spacing w:line="276" w:lineRule="auto"/>
        <w:rPr>
          <w:rFonts w:ascii="Century Gothic" w:eastAsiaTheme="majorEastAsia" w:hAnsi="Century Gothic" w:cstheme="minorHAnsi"/>
          <w:b/>
          <w:bCs/>
          <w:color w:val="1F4E79" w:themeColor="accent5" w:themeShade="80"/>
          <w:sz w:val="32"/>
          <w:szCs w:val="32"/>
        </w:rPr>
      </w:pPr>
      <w:r w:rsidRPr="00846AE5">
        <w:rPr>
          <w:rFonts w:ascii="Century Gothic" w:eastAsiaTheme="majorEastAsia" w:hAnsi="Century Gothic" w:cstheme="minorHAnsi"/>
          <w:b/>
          <w:bCs/>
          <w:color w:val="1F4E79" w:themeColor="accent5" w:themeShade="80"/>
          <w:sz w:val="32"/>
          <w:szCs w:val="32"/>
        </w:rPr>
        <w:t>Regulatory Guidance</w:t>
      </w:r>
    </w:p>
    <w:p w14:paraId="2471319E" w14:textId="77777777" w:rsidR="00277334" w:rsidRDefault="00277334" w:rsidP="002D4423">
      <w:pPr>
        <w:spacing w:line="276" w:lineRule="auto"/>
        <w:rPr>
          <w:rFonts w:asciiTheme="majorHAnsi" w:eastAsiaTheme="majorEastAsia" w:hAnsiTheme="majorHAnsi" w:cstheme="majorBidi"/>
          <w:color w:val="auto"/>
          <w:szCs w:val="24"/>
        </w:rPr>
      </w:pPr>
    </w:p>
    <w:p w14:paraId="47BFBD26" w14:textId="77777777" w:rsidR="001B7495" w:rsidRDefault="00277334" w:rsidP="002D4423">
      <w:pPr>
        <w:spacing w:line="276" w:lineRule="auto"/>
        <w:rPr>
          <w:rFonts w:asciiTheme="majorHAnsi" w:eastAsiaTheme="majorEastAsia" w:hAnsiTheme="majorHAnsi" w:cstheme="majorBidi"/>
          <w:color w:val="auto"/>
          <w:szCs w:val="24"/>
          <w:highlight w:val="yellow"/>
        </w:rPr>
      </w:pPr>
      <w:bookmarkStart w:id="2" w:name="_Hlk177233333"/>
      <w:r w:rsidRPr="00A275CA">
        <w:rPr>
          <w:rFonts w:asciiTheme="majorHAnsi" w:eastAsiaTheme="majorEastAsia" w:hAnsiTheme="majorHAnsi" w:cstheme="majorBidi"/>
          <w:color w:val="auto"/>
          <w:szCs w:val="24"/>
          <w:highlight w:val="yellow"/>
        </w:rPr>
        <w:t>Charity Commission (England &amp; Wales)</w:t>
      </w:r>
    </w:p>
    <w:p w14:paraId="25894AA6" w14:textId="7E0912E2" w:rsidR="00277334" w:rsidRPr="001B7495" w:rsidRDefault="00277334" w:rsidP="002D4423">
      <w:pPr>
        <w:pStyle w:val="ListParagraph"/>
        <w:numPr>
          <w:ilvl w:val="0"/>
          <w:numId w:val="67"/>
        </w:numPr>
        <w:rPr>
          <w:rFonts w:asciiTheme="majorHAnsi" w:eastAsiaTheme="majorEastAsia" w:hAnsiTheme="majorHAnsi" w:cstheme="majorBidi"/>
          <w:color w:val="auto"/>
          <w:szCs w:val="24"/>
          <w:highlight w:val="yellow"/>
        </w:rPr>
      </w:pPr>
      <w:hyperlink r:id="rId11" w:history="1">
        <w:r w:rsidRPr="001B7495">
          <w:rPr>
            <w:rStyle w:val="Hyperlink"/>
            <w:rFonts w:asciiTheme="majorHAnsi" w:eastAsiaTheme="majorEastAsia" w:hAnsiTheme="majorHAnsi" w:cstheme="majorBidi"/>
            <w:szCs w:val="24"/>
            <w:highlight w:val="yellow"/>
          </w:rPr>
          <w:t>Serious Incident Examples Table</w:t>
        </w:r>
      </w:hyperlink>
      <w:r w:rsidRPr="001B7495">
        <w:rPr>
          <w:rFonts w:asciiTheme="majorHAnsi" w:eastAsiaTheme="majorEastAsia" w:hAnsiTheme="majorHAnsi" w:cstheme="majorBidi"/>
          <w:color w:val="auto"/>
          <w:szCs w:val="24"/>
          <w:highlight w:val="yellow"/>
        </w:rPr>
        <w:t xml:space="preserve"> – Deciding What to Report.</w:t>
      </w:r>
    </w:p>
    <w:bookmarkEnd w:id="2"/>
    <w:p w14:paraId="1F018A63" w14:textId="507C287F" w:rsidR="00277334" w:rsidRPr="001B7495" w:rsidRDefault="00277334" w:rsidP="002D4423">
      <w:pPr>
        <w:pStyle w:val="ListParagraph"/>
        <w:numPr>
          <w:ilvl w:val="0"/>
          <w:numId w:val="67"/>
        </w:numPr>
        <w:rPr>
          <w:rFonts w:asciiTheme="majorHAnsi" w:eastAsiaTheme="majorEastAsia" w:hAnsiTheme="majorHAnsi" w:cstheme="majorBidi"/>
          <w:color w:val="auto"/>
          <w:szCs w:val="24"/>
          <w:highlight w:val="yellow"/>
        </w:rPr>
      </w:pPr>
      <w:r>
        <w:fldChar w:fldCharType="begin"/>
      </w:r>
      <w:r>
        <w:instrText>HYPERLINK "https://www.gov.uk/guidance/how-to-report-a-serious-incident-in-your-charity"</w:instrText>
      </w:r>
      <w:r>
        <w:fldChar w:fldCharType="separate"/>
      </w:r>
      <w:r w:rsidRPr="001B7495">
        <w:rPr>
          <w:rStyle w:val="Hyperlink"/>
          <w:rFonts w:asciiTheme="majorHAnsi" w:eastAsiaTheme="majorEastAsia" w:hAnsiTheme="majorHAnsi" w:cstheme="majorBidi"/>
          <w:szCs w:val="24"/>
          <w:highlight w:val="yellow"/>
        </w:rPr>
        <w:t>How to report a serious incident in your charity</w:t>
      </w:r>
      <w:r>
        <w:fldChar w:fldCharType="end"/>
      </w:r>
      <w:r w:rsidRPr="001B7495">
        <w:rPr>
          <w:rFonts w:asciiTheme="majorHAnsi" w:eastAsiaTheme="majorEastAsia" w:hAnsiTheme="majorHAnsi" w:cstheme="majorBidi"/>
          <w:color w:val="auto"/>
          <w:szCs w:val="24"/>
          <w:highlight w:val="yellow"/>
        </w:rPr>
        <w:t>.</w:t>
      </w:r>
    </w:p>
    <w:p w14:paraId="324CE4EB" w14:textId="30711600" w:rsidR="001B7495" w:rsidRPr="001B7495" w:rsidRDefault="001B7495" w:rsidP="002D4423">
      <w:pPr>
        <w:pStyle w:val="ListParagraph"/>
        <w:numPr>
          <w:ilvl w:val="0"/>
          <w:numId w:val="67"/>
        </w:numPr>
        <w:rPr>
          <w:rFonts w:asciiTheme="majorHAnsi" w:eastAsiaTheme="majorEastAsia" w:hAnsiTheme="majorHAnsi" w:cstheme="majorBidi"/>
          <w:color w:val="auto"/>
          <w:szCs w:val="24"/>
          <w:highlight w:val="yellow"/>
        </w:rPr>
      </w:pPr>
      <w:hyperlink r:id="rId12" w:anchor="how" w:history="1">
        <w:r w:rsidRPr="001B7495">
          <w:rPr>
            <w:rStyle w:val="Hyperlink"/>
            <w:rFonts w:asciiTheme="majorHAnsi" w:eastAsiaTheme="majorEastAsia" w:hAnsiTheme="majorHAnsi" w:cstheme="majorBidi"/>
            <w:szCs w:val="24"/>
          </w:rPr>
          <w:t>Raising a concern with the Charity Commission (CC47).</w:t>
        </w:r>
      </w:hyperlink>
    </w:p>
    <w:p w14:paraId="1926C7C4" w14:textId="77777777" w:rsidR="00277334" w:rsidRPr="00A275CA" w:rsidRDefault="00277334" w:rsidP="002D4423">
      <w:pPr>
        <w:spacing w:line="276" w:lineRule="auto"/>
        <w:rPr>
          <w:rFonts w:asciiTheme="majorHAnsi" w:eastAsiaTheme="majorEastAsia" w:hAnsiTheme="majorHAnsi" w:cstheme="majorBidi"/>
          <w:color w:val="auto"/>
          <w:szCs w:val="24"/>
          <w:highlight w:val="yellow"/>
        </w:rPr>
      </w:pPr>
      <w:r w:rsidRPr="00A275CA">
        <w:rPr>
          <w:rFonts w:asciiTheme="majorHAnsi" w:eastAsiaTheme="majorEastAsia" w:hAnsiTheme="majorHAnsi" w:cstheme="majorBidi"/>
          <w:color w:val="auto"/>
          <w:szCs w:val="24"/>
          <w:highlight w:val="yellow"/>
        </w:rPr>
        <w:t xml:space="preserve">OSCR (Scotland) – </w:t>
      </w:r>
      <w:hyperlink r:id="rId13" w:history="1">
        <w:r w:rsidRPr="00A275CA">
          <w:rPr>
            <w:rStyle w:val="Hyperlink"/>
            <w:rFonts w:asciiTheme="majorHAnsi" w:eastAsiaTheme="majorEastAsia" w:hAnsiTheme="majorHAnsi" w:cstheme="majorBidi"/>
            <w:szCs w:val="24"/>
            <w:highlight w:val="yellow"/>
          </w:rPr>
          <w:t>Raise a Concern</w:t>
        </w:r>
      </w:hyperlink>
      <w:r w:rsidRPr="00A275CA">
        <w:rPr>
          <w:rFonts w:asciiTheme="majorHAnsi" w:eastAsiaTheme="majorEastAsia" w:hAnsiTheme="majorHAnsi" w:cstheme="majorBidi"/>
          <w:color w:val="auto"/>
          <w:szCs w:val="24"/>
          <w:highlight w:val="yellow"/>
        </w:rPr>
        <w:t>.</w:t>
      </w:r>
    </w:p>
    <w:p w14:paraId="7FCA6ED5" w14:textId="77777777" w:rsidR="00277334" w:rsidRDefault="00277334" w:rsidP="002D4423">
      <w:pPr>
        <w:spacing w:line="276" w:lineRule="auto"/>
        <w:rPr>
          <w:rFonts w:asciiTheme="majorHAnsi" w:eastAsiaTheme="majorEastAsia" w:hAnsiTheme="majorHAnsi" w:cstheme="majorBidi"/>
          <w:color w:val="auto"/>
          <w:szCs w:val="24"/>
        </w:rPr>
      </w:pPr>
      <w:r w:rsidRPr="00A275CA">
        <w:rPr>
          <w:rFonts w:asciiTheme="majorHAnsi" w:eastAsiaTheme="majorEastAsia" w:hAnsiTheme="majorHAnsi" w:cstheme="majorBidi"/>
          <w:color w:val="auto"/>
          <w:szCs w:val="24"/>
          <w:highlight w:val="yellow"/>
        </w:rPr>
        <w:t xml:space="preserve">CCNI (Northern Ireland) - </w:t>
      </w:r>
      <w:hyperlink r:id="rId14" w:history="1">
        <w:r w:rsidRPr="00A275CA">
          <w:rPr>
            <w:rStyle w:val="Hyperlink"/>
            <w:rFonts w:asciiTheme="majorHAnsi" w:eastAsiaTheme="majorEastAsia" w:hAnsiTheme="majorHAnsi" w:cstheme="majorBidi"/>
            <w:szCs w:val="24"/>
            <w:highlight w:val="yellow"/>
          </w:rPr>
          <w:t>Serious incident reporting</w:t>
        </w:r>
      </w:hyperlink>
      <w:r w:rsidRPr="00A275CA">
        <w:rPr>
          <w:rFonts w:asciiTheme="majorHAnsi" w:eastAsiaTheme="majorEastAsia" w:hAnsiTheme="majorHAnsi" w:cstheme="majorBidi"/>
          <w:color w:val="auto"/>
          <w:szCs w:val="24"/>
          <w:highlight w:val="yellow"/>
        </w:rPr>
        <w:t>: a guide for charity trustees.</w:t>
      </w:r>
    </w:p>
    <w:p w14:paraId="140AF045" w14:textId="77777777" w:rsidR="00277334" w:rsidRDefault="00277334" w:rsidP="002D4423">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HSE – </w:t>
      </w:r>
      <w:hyperlink r:id="rId15" w:history="1">
        <w:r w:rsidRPr="0042279B">
          <w:rPr>
            <w:rStyle w:val="Hyperlink"/>
            <w:rFonts w:asciiTheme="majorHAnsi" w:eastAsiaTheme="majorEastAsia" w:hAnsiTheme="majorHAnsi" w:cstheme="majorBidi"/>
            <w:szCs w:val="24"/>
          </w:rPr>
          <w:t>legal recording and reporting accidents</w:t>
        </w:r>
      </w:hyperlink>
      <w:r>
        <w:rPr>
          <w:rFonts w:asciiTheme="majorHAnsi" w:eastAsiaTheme="majorEastAsia" w:hAnsiTheme="majorHAnsi" w:cstheme="majorBidi"/>
          <w:color w:val="auto"/>
          <w:szCs w:val="24"/>
        </w:rPr>
        <w:t>.</w:t>
      </w:r>
    </w:p>
    <w:p w14:paraId="02B04988" w14:textId="77777777" w:rsidR="00277334" w:rsidRDefault="00277334" w:rsidP="002D4423">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HSE – </w:t>
      </w:r>
      <w:hyperlink r:id="rId16" w:history="1">
        <w:r w:rsidRPr="002534F3">
          <w:rPr>
            <w:rStyle w:val="Hyperlink"/>
            <w:rFonts w:asciiTheme="majorHAnsi" w:eastAsiaTheme="majorEastAsia" w:hAnsiTheme="majorHAnsi" w:cstheme="majorBidi"/>
            <w:szCs w:val="24"/>
          </w:rPr>
          <w:t>RIDDOR</w:t>
        </w:r>
      </w:hyperlink>
    </w:p>
    <w:p w14:paraId="40019E4E" w14:textId="77777777" w:rsidR="00277334" w:rsidRDefault="00277334" w:rsidP="002D4423">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HSE – </w:t>
      </w:r>
      <w:hyperlink r:id="rId17" w:history="1">
        <w:r w:rsidRPr="002534F3">
          <w:rPr>
            <w:rStyle w:val="Hyperlink"/>
            <w:rFonts w:asciiTheme="majorHAnsi" w:eastAsiaTheme="majorEastAsia" w:hAnsiTheme="majorHAnsi" w:cstheme="majorBidi"/>
            <w:szCs w:val="24"/>
          </w:rPr>
          <w:t>RIDDOR Index</w:t>
        </w:r>
      </w:hyperlink>
      <w:r>
        <w:rPr>
          <w:rFonts w:asciiTheme="majorHAnsi" w:eastAsiaTheme="majorEastAsia" w:hAnsiTheme="majorHAnsi" w:cstheme="majorBidi"/>
          <w:color w:val="auto"/>
          <w:szCs w:val="24"/>
        </w:rPr>
        <w:t>.</w:t>
      </w:r>
    </w:p>
    <w:p w14:paraId="1922DD26" w14:textId="77777777" w:rsidR="00277334" w:rsidRPr="0023300C" w:rsidRDefault="00277334" w:rsidP="002D4423">
      <w:pPr>
        <w:spacing w:line="276" w:lineRule="auto"/>
        <w:rPr>
          <w:rFonts w:asciiTheme="majorHAnsi" w:eastAsiaTheme="majorEastAsia" w:hAnsiTheme="majorHAnsi" w:cstheme="majorBidi"/>
          <w:b/>
          <w:bCs/>
          <w:color w:val="auto"/>
          <w:szCs w:val="24"/>
        </w:rPr>
      </w:pPr>
      <w:r>
        <w:rPr>
          <w:rFonts w:asciiTheme="majorHAnsi" w:eastAsiaTheme="majorEastAsia" w:hAnsiTheme="majorHAnsi" w:cstheme="majorBidi"/>
          <w:color w:val="auto"/>
          <w:szCs w:val="24"/>
        </w:rPr>
        <w:t xml:space="preserve">DCMS - </w:t>
      </w:r>
      <w:hyperlink r:id="rId18" w:history="1">
        <w:r w:rsidRPr="00846AE5">
          <w:rPr>
            <w:rStyle w:val="Hyperlink"/>
            <w:rFonts w:asciiTheme="majorHAnsi" w:eastAsiaTheme="majorEastAsia" w:hAnsiTheme="majorHAnsi" w:cstheme="majorBidi"/>
            <w:szCs w:val="24"/>
          </w:rPr>
          <w:t>Guidance on reporting safeguarding concerns in a charity</w:t>
        </w:r>
      </w:hyperlink>
      <w:r>
        <w:rPr>
          <w:rFonts w:asciiTheme="majorHAnsi" w:eastAsiaTheme="majorEastAsia" w:hAnsiTheme="majorHAnsi" w:cstheme="majorBidi"/>
          <w:color w:val="auto"/>
          <w:szCs w:val="24"/>
        </w:rPr>
        <w:t>.</w:t>
      </w:r>
    </w:p>
    <w:p w14:paraId="3924ABD7" w14:textId="77777777" w:rsidR="00277334" w:rsidRDefault="00277334" w:rsidP="002D4423">
      <w:pPr>
        <w:spacing w:line="276" w:lineRule="auto"/>
        <w:rPr>
          <w:rFonts w:asciiTheme="majorHAnsi" w:eastAsiaTheme="majorEastAsia" w:hAnsiTheme="majorHAnsi" w:cstheme="majorBidi"/>
          <w:color w:val="auto"/>
          <w:szCs w:val="24"/>
        </w:rPr>
      </w:pPr>
    </w:p>
    <w:p w14:paraId="1C415F4C" w14:textId="2C71254D" w:rsidR="00277334" w:rsidRPr="006F0FB4" w:rsidRDefault="00277334" w:rsidP="002D4423">
      <w:pPr>
        <w:spacing w:line="276" w:lineRule="auto"/>
        <w:rPr>
          <w:rFonts w:ascii="Century Gothic" w:eastAsiaTheme="majorEastAsia" w:hAnsi="Century Gothic" w:cstheme="minorHAnsi"/>
          <w:b/>
          <w:bCs/>
          <w:color w:val="1F4E79" w:themeColor="accent5" w:themeShade="80"/>
          <w:sz w:val="32"/>
          <w:szCs w:val="32"/>
        </w:rPr>
      </w:pPr>
      <w:r w:rsidRPr="006F0FB4">
        <w:rPr>
          <w:rFonts w:ascii="Century Gothic" w:eastAsiaTheme="majorEastAsia" w:hAnsi="Century Gothic" w:cstheme="minorHAnsi"/>
          <w:b/>
          <w:bCs/>
          <w:color w:val="1F4E79" w:themeColor="accent5" w:themeShade="80"/>
          <w:sz w:val="32"/>
          <w:szCs w:val="32"/>
        </w:rPr>
        <w:t xml:space="preserve">This Guidance on </w:t>
      </w:r>
      <w:r>
        <w:rPr>
          <w:rFonts w:ascii="Century Gothic" w:eastAsiaTheme="majorEastAsia" w:hAnsi="Century Gothic" w:cstheme="minorHAnsi"/>
          <w:b/>
          <w:bCs/>
          <w:color w:val="1F4E79" w:themeColor="accent5" w:themeShade="80"/>
          <w:sz w:val="32"/>
          <w:szCs w:val="32"/>
        </w:rPr>
        <w:t xml:space="preserve">Serious Incident Reporting </w:t>
      </w:r>
      <w:r w:rsidRPr="006F0FB4">
        <w:rPr>
          <w:rFonts w:ascii="Century Gothic" w:eastAsiaTheme="majorEastAsia" w:hAnsi="Century Gothic" w:cstheme="minorHAnsi"/>
          <w:b/>
          <w:bCs/>
          <w:color w:val="1F4E79" w:themeColor="accent5" w:themeShade="80"/>
          <w:sz w:val="32"/>
          <w:szCs w:val="32"/>
        </w:rPr>
        <w:t>is Not Professional Advice</w:t>
      </w:r>
    </w:p>
    <w:p w14:paraId="12F19C7C" w14:textId="77777777" w:rsidR="00277334" w:rsidRPr="006F0FB4" w:rsidRDefault="00277334" w:rsidP="002D4423">
      <w:pPr>
        <w:spacing w:line="276" w:lineRule="auto"/>
        <w:ind w:left="360"/>
      </w:pPr>
    </w:p>
    <w:p w14:paraId="5A0D0B86" w14:textId="5B9FA94F" w:rsidR="00277334" w:rsidRPr="006F0FB4" w:rsidRDefault="00277334" w:rsidP="002D4423">
      <w:pPr>
        <w:spacing w:line="276" w:lineRule="auto"/>
      </w:pPr>
      <w:r w:rsidRPr="006F0FB4">
        <w:lastRenderedPageBreak/>
        <w:t xml:space="preserve">This guidance on </w:t>
      </w:r>
      <w:r>
        <w:t xml:space="preserve">serious incident reporting </w:t>
      </w:r>
      <w:r w:rsidRPr="006F0FB4">
        <w:t xml:space="preserve">is </w:t>
      </w:r>
      <w:r>
        <w:t xml:space="preserve">based on the guidance issued by the Charity Commission for England and Wales and is for </w:t>
      </w:r>
      <w:r w:rsidRPr="006F0FB4">
        <w:t xml:space="preserve">general interest only and does not constitute professional legal or financial advice.  I'm neither a lawyer, nor an accountant, so not able to provide this, and I cannot write guidance that covers every charity or eventuality.  I have included links to relevant regulatory guidance, which you must check to ensure that whatever you create reflects correctly your charity’s needs and your obligations.  In using this resource, you accept that I have no responsibility whatsoever from any harm, loss or other detriment that may arise from your use of my work.  </w:t>
      </w:r>
    </w:p>
    <w:p w14:paraId="418002A6" w14:textId="77777777" w:rsidR="00277334" w:rsidRPr="006F0FB4" w:rsidRDefault="00277334" w:rsidP="002D4423">
      <w:pPr>
        <w:spacing w:line="276" w:lineRule="auto"/>
      </w:pPr>
    </w:p>
    <w:p w14:paraId="7D32ADC5" w14:textId="06906755" w:rsidR="00277334" w:rsidRPr="00064A0C" w:rsidRDefault="00277334" w:rsidP="002D4423">
      <w:pPr>
        <w:spacing w:line="276" w:lineRule="auto"/>
        <w:rPr>
          <w:rFonts w:asciiTheme="majorHAnsi" w:eastAsiaTheme="majorEastAsia" w:hAnsiTheme="majorHAnsi" w:cstheme="majorBidi"/>
          <w:color w:val="auto"/>
          <w:szCs w:val="24"/>
        </w:rPr>
      </w:pPr>
      <w:r w:rsidRPr="006F0FB4">
        <w:t xml:space="preserve">If you need professional advice, you must seek this from someone else. To do so, register, then login and use the </w:t>
      </w:r>
      <w:hyperlink r:id="rId19" w:history="1">
        <w:r w:rsidRPr="006F0FB4">
          <w:rPr>
            <w:rStyle w:val="Hyperlink"/>
          </w:rPr>
          <w:t>Help Finder</w:t>
        </w:r>
      </w:hyperlink>
      <w:r w:rsidRPr="006F0FB4">
        <w:t xml:space="preserve"> directory to find pro bono support. Everything is free</w:t>
      </w:r>
      <w:r>
        <w:t>.</w:t>
      </w:r>
    </w:p>
    <w:p w14:paraId="3B656F74" w14:textId="3F0E459D" w:rsidR="009523C3" w:rsidRPr="009523C3" w:rsidRDefault="009523C3" w:rsidP="002D4423">
      <w:pPr>
        <w:spacing w:before="100" w:beforeAutospacing="1" w:after="360" w:line="276" w:lineRule="auto"/>
        <w:rPr>
          <w:rFonts w:asciiTheme="majorHAnsi" w:hAnsiTheme="majorHAnsi"/>
          <w:color w:val="auto"/>
          <w:spacing w:val="-3"/>
          <w:szCs w:val="24"/>
        </w:rPr>
      </w:pPr>
      <w:r>
        <w:rPr>
          <w:rFonts w:asciiTheme="majorHAnsi" w:hAnsiTheme="majorHAnsi"/>
          <w:color w:val="auto"/>
          <w:spacing w:val="-3"/>
          <w:szCs w:val="24"/>
        </w:rPr>
        <w:t>Ian</w:t>
      </w:r>
    </w:p>
    <w:p w14:paraId="34A08B11" w14:textId="4CC9C75E" w:rsidR="00802E4A" w:rsidRPr="008343EA" w:rsidRDefault="00802E4A" w:rsidP="002D4423">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2D4423">
      <w:pPr>
        <w:shd w:val="clear" w:color="auto" w:fill="FFFFFF"/>
        <w:spacing w:line="276" w:lineRule="auto"/>
        <w:rPr>
          <w:rFonts w:ascii="Century Gothic" w:eastAsia="Calibri" w:hAnsi="Century Gothic" w:cs="Calibri"/>
          <w:noProof/>
          <w:color w:val="323E4F"/>
          <w:szCs w:val="24"/>
        </w:rPr>
      </w:pPr>
    </w:p>
    <w:p w14:paraId="3C93CB30" w14:textId="77777777" w:rsidR="00802E4A" w:rsidRPr="00322C33" w:rsidRDefault="00802E4A" w:rsidP="002D4423">
      <w:pPr>
        <w:spacing w:line="276" w:lineRule="auto"/>
        <w:rPr>
          <w:rStyle w:val="Hyperlink"/>
          <w:rFonts w:ascii="Century Gothic" w:eastAsia="Calibri" w:hAnsi="Century Gothic" w:cs="Calibri"/>
          <w:noProof/>
          <w:color w:val="1F4E79" w:themeColor="accent5" w:themeShade="80"/>
          <w:lang w:eastAsia="en-GB"/>
        </w:rPr>
      </w:pPr>
      <w:hyperlink r:id="rId20" w:history="1">
        <w:r w:rsidRPr="00322C33">
          <w:rPr>
            <w:rStyle w:val="Hyperlink"/>
            <w:rFonts w:ascii="Century Gothic" w:eastAsia="Calibri" w:hAnsi="Century Gothic" w:cs="Calibri"/>
            <w:noProof/>
            <w:lang w:eastAsia="en-GB"/>
          </w:rPr>
          <w:t>ian@charityexcellence.co.uk</w:t>
        </w:r>
      </w:hyperlink>
    </w:p>
    <w:p w14:paraId="0CE6CBC7" w14:textId="77777777" w:rsidR="00802E4A" w:rsidRDefault="00802E4A" w:rsidP="002D4423">
      <w:pPr>
        <w:spacing w:line="276" w:lineRule="auto"/>
        <w:rPr>
          <w:rStyle w:val="Hyperlink"/>
          <w:rFonts w:ascii="Century Gothic" w:eastAsia="Calibri" w:hAnsi="Century Gothic" w:cs="Calibri"/>
          <w:noProof/>
          <w:color w:val="1F4E79" w:themeColor="accent5" w:themeShade="80"/>
          <w:lang w:eastAsia="en-GB"/>
        </w:rPr>
      </w:pPr>
      <w:hyperlink r:id="rId21"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p>
    <w:p w14:paraId="2DAD660B" w14:textId="77777777" w:rsidR="001B7495" w:rsidRDefault="001B7495" w:rsidP="002D4423">
      <w:pPr>
        <w:spacing w:line="276" w:lineRule="auto"/>
        <w:rPr>
          <w:rStyle w:val="Hyperlink"/>
          <w:rFonts w:ascii="Century Gothic" w:eastAsia="Calibri" w:hAnsi="Century Gothic" w:cs="Calibri"/>
          <w:noProof/>
          <w:color w:val="1F4E79" w:themeColor="accent5" w:themeShade="80"/>
          <w:lang w:eastAsia="en-GB"/>
        </w:rPr>
      </w:pPr>
    </w:p>
    <w:p w14:paraId="0E098718" w14:textId="6A9842F9" w:rsidR="001B7495" w:rsidRPr="001B7495" w:rsidRDefault="001B7495" w:rsidP="002D4423">
      <w:pPr>
        <w:spacing w:line="276" w:lineRule="auto"/>
        <w:rPr>
          <w:rStyle w:val="Hyperlink"/>
          <w:rFonts w:ascii="Century Gothic" w:eastAsia="Calibri" w:hAnsi="Century Gothic" w:cs="Calibri"/>
          <w:b/>
          <w:bCs/>
          <w:noProof/>
          <w:color w:val="1F4E79" w:themeColor="accent5" w:themeShade="80"/>
          <w:u w:val="none"/>
          <w:lang w:eastAsia="en-GB"/>
        </w:rPr>
      </w:pPr>
      <w:r w:rsidRPr="001B7495">
        <w:rPr>
          <w:rStyle w:val="Hyperlink"/>
          <w:rFonts w:ascii="Century Gothic" w:eastAsia="Calibri" w:hAnsi="Century Gothic" w:cs="Calibri"/>
          <w:b/>
          <w:bCs/>
          <w:noProof/>
          <w:color w:val="1F4E79" w:themeColor="accent5" w:themeShade="80"/>
          <w:u w:val="none"/>
          <w:lang w:eastAsia="en-GB"/>
        </w:rPr>
        <w:t>Iterations</w:t>
      </w:r>
      <w:r>
        <w:rPr>
          <w:rStyle w:val="Hyperlink"/>
          <w:rFonts w:ascii="Century Gothic" w:eastAsia="Calibri" w:hAnsi="Century Gothic" w:cs="Calibri"/>
          <w:b/>
          <w:bCs/>
          <w:noProof/>
          <w:color w:val="1F4E79" w:themeColor="accent5" w:themeShade="80"/>
          <w:u w:val="none"/>
          <w:lang w:eastAsia="en-GB"/>
        </w:rPr>
        <w:t>:</w:t>
      </w:r>
    </w:p>
    <w:p w14:paraId="70A10203" w14:textId="77777777" w:rsidR="001B7495" w:rsidRDefault="001B7495" w:rsidP="002D4423">
      <w:pPr>
        <w:spacing w:line="276" w:lineRule="auto"/>
        <w:rPr>
          <w:rStyle w:val="Hyperlink"/>
          <w:rFonts w:ascii="Century Gothic" w:eastAsia="Calibri" w:hAnsi="Century Gothic" w:cs="Calibri"/>
          <w:noProof/>
          <w:color w:val="1F4E79" w:themeColor="accent5" w:themeShade="80"/>
          <w:lang w:eastAsia="en-GB"/>
        </w:rPr>
      </w:pPr>
    </w:p>
    <w:p w14:paraId="37115D84" w14:textId="4B8C6A9D" w:rsidR="001B7495" w:rsidRPr="001B7495" w:rsidRDefault="001B7495" w:rsidP="002D4423">
      <w:pPr>
        <w:spacing w:line="276" w:lineRule="auto"/>
        <w:rPr>
          <w:rStyle w:val="Hyperlink"/>
          <w:rFonts w:asciiTheme="majorHAnsi" w:eastAsia="Calibri" w:hAnsiTheme="majorHAnsi"/>
          <w:noProof/>
          <w:color w:val="auto"/>
          <w:u w:val="none"/>
          <w:lang w:eastAsia="en-GB"/>
        </w:rPr>
      </w:pPr>
      <w:r w:rsidRPr="001B7495">
        <w:rPr>
          <w:rStyle w:val="Hyperlink"/>
          <w:rFonts w:asciiTheme="majorHAnsi" w:eastAsia="Calibri" w:hAnsiTheme="majorHAnsi"/>
          <w:noProof/>
          <w:color w:val="auto"/>
          <w:u w:val="none"/>
          <w:lang w:eastAsia="en-GB"/>
        </w:rPr>
        <w:t>Version 1 – initial draft Sep 24.</w:t>
      </w:r>
    </w:p>
    <w:p w14:paraId="702EF125" w14:textId="71AA1CD2" w:rsidR="001B7495" w:rsidRPr="001B7495" w:rsidRDefault="001B7495" w:rsidP="002D4423">
      <w:pPr>
        <w:spacing w:line="276" w:lineRule="auto"/>
        <w:rPr>
          <w:rFonts w:asciiTheme="majorHAnsi" w:hAnsiTheme="majorHAnsi"/>
          <w:color w:val="auto"/>
        </w:rPr>
      </w:pPr>
      <w:r w:rsidRPr="001B7495">
        <w:rPr>
          <w:rStyle w:val="Hyperlink"/>
          <w:rFonts w:asciiTheme="majorHAnsi" w:eastAsia="Calibri" w:hAnsiTheme="majorHAnsi"/>
          <w:noProof/>
          <w:color w:val="auto"/>
          <w:u w:val="none"/>
          <w:lang w:eastAsia="en-GB"/>
        </w:rPr>
        <w:t>Version 2 – CC47 update on when concerns must be raised Jun 25.</w:t>
      </w:r>
    </w:p>
    <w:sectPr w:rsidR="001B7495" w:rsidRPr="001B7495" w:rsidSect="00BC6585">
      <w:headerReference w:type="even" r:id="rId22"/>
      <w:headerReference w:type="default" r:id="rId23"/>
      <w:footerReference w:type="even" r:id="rId24"/>
      <w:footerReference w:type="default" r:id="rId25"/>
      <w:headerReference w:type="first" r:id="rId26"/>
      <w:footerReference w:type="first" r:id="rId27"/>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AF65" w14:textId="77777777" w:rsidR="00AD5E50" w:rsidRDefault="00AD5E50" w:rsidP="007916A8">
      <w:r>
        <w:separator/>
      </w:r>
    </w:p>
  </w:endnote>
  <w:endnote w:type="continuationSeparator" w:id="0">
    <w:p w14:paraId="2C94C9C6" w14:textId="77777777" w:rsidR="00AD5E50" w:rsidRDefault="00AD5E50"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FBD3" w14:textId="77777777" w:rsidR="002D519A" w:rsidRDefault="002D5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164A8038"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3" w:name="_Hlk502821659"/>
    <w:bookmarkStart w:id="4"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2D519A">
      <w:rPr>
        <w:rFonts w:asciiTheme="majorHAnsi" w:hAnsiTheme="majorHAnsi"/>
        <w:color w:val="0B0C0C"/>
        <w:spacing w:val="0"/>
        <w:kern w:val="0"/>
        <w:sz w:val="22"/>
        <w:szCs w:val="22"/>
        <w:shd w:val="clear" w:color="auto" w:fill="FFFFFF"/>
        <w14:ligatures w14:val="standardContextual"/>
      </w:rPr>
      <w:t>4</w:t>
    </w:r>
    <w:bookmarkEnd w:id="3"/>
    <w:bookmarkEnd w:id="4"/>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0D51" w14:textId="77777777" w:rsidR="002D519A" w:rsidRDefault="002D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3EBE" w14:textId="77777777" w:rsidR="00AD5E50" w:rsidRDefault="00AD5E50" w:rsidP="007916A8">
      <w:r>
        <w:separator/>
      </w:r>
    </w:p>
  </w:footnote>
  <w:footnote w:type="continuationSeparator" w:id="0">
    <w:p w14:paraId="57010FFA" w14:textId="77777777" w:rsidR="00AD5E50" w:rsidRDefault="00AD5E50"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C3EF" w14:textId="77777777" w:rsidR="002D519A" w:rsidRDefault="002D5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9595" w14:textId="77777777" w:rsidR="002D519A" w:rsidRDefault="002D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87821"/>
    <w:multiLevelType w:val="hybridMultilevel"/>
    <w:tmpl w:val="9F5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5"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570782"/>
    <w:multiLevelType w:val="multilevel"/>
    <w:tmpl w:val="21D2D6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FF2F01"/>
    <w:multiLevelType w:val="multilevel"/>
    <w:tmpl w:val="CCD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EA3C37"/>
    <w:multiLevelType w:val="multilevel"/>
    <w:tmpl w:val="B096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4" w15:restartNumberingAfterBreak="0">
    <w:nsid w:val="351C323F"/>
    <w:multiLevelType w:val="hybridMultilevel"/>
    <w:tmpl w:val="19D20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1B08A8"/>
    <w:multiLevelType w:val="hybridMultilevel"/>
    <w:tmpl w:val="A39C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20731F"/>
    <w:multiLevelType w:val="multilevel"/>
    <w:tmpl w:val="573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C7E08DE"/>
    <w:multiLevelType w:val="multilevel"/>
    <w:tmpl w:val="A4B40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576CCC"/>
    <w:multiLevelType w:val="multilevel"/>
    <w:tmpl w:val="46BA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DD3F25"/>
    <w:multiLevelType w:val="multilevel"/>
    <w:tmpl w:val="4552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4"/>
  </w:num>
  <w:num w:numId="2" w16cid:durableId="313460090">
    <w:abstractNumId w:val="23"/>
  </w:num>
  <w:num w:numId="3" w16cid:durableId="2136285670">
    <w:abstractNumId w:val="29"/>
  </w:num>
  <w:num w:numId="4" w16cid:durableId="1934704107">
    <w:abstractNumId w:val="59"/>
  </w:num>
  <w:num w:numId="5" w16cid:durableId="1181578704">
    <w:abstractNumId w:val="26"/>
  </w:num>
  <w:num w:numId="6" w16cid:durableId="1331635257">
    <w:abstractNumId w:val="38"/>
  </w:num>
  <w:num w:numId="7" w16cid:durableId="1468814416">
    <w:abstractNumId w:val="27"/>
  </w:num>
  <w:num w:numId="8" w16cid:durableId="251549325">
    <w:abstractNumId w:val="54"/>
  </w:num>
  <w:num w:numId="9" w16cid:durableId="200899761">
    <w:abstractNumId w:val="30"/>
  </w:num>
  <w:num w:numId="10" w16cid:durableId="1878393269">
    <w:abstractNumId w:val="48"/>
  </w:num>
  <w:num w:numId="11" w16cid:durableId="1660575661">
    <w:abstractNumId w:val="49"/>
  </w:num>
  <w:num w:numId="12" w16cid:durableId="1818834001">
    <w:abstractNumId w:val="6"/>
  </w:num>
  <w:num w:numId="13" w16cid:durableId="1129516877">
    <w:abstractNumId w:val="21"/>
  </w:num>
  <w:num w:numId="14" w16cid:durableId="1410618880">
    <w:abstractNumId w:val="55"/>
  </w:num>
  <w:num w:numId="15" w16cid:durableId="35665379">
    <w:abstractNumId w:val="31"/>
  </w:num>
  <w:num w:numId="16" w16cid:durableId="1400519321">
    <w:abstractNumId w:val="11"/>
  </w:num>
  <w:num w:numId="17" w16cid:durableId="329256783">
    <w:abstractNumId w:val="3"/>
  </w:num>
  <w:num w:numId="18" w16cid:durableId="592589935">
    <w:abstractNumId w:val="62"/>
  </w:num>
  <w:num w:numId="19" w16cid:durableId="447940408">
    <w:abstractNumId w:val="65"/>
  </w:num>
  <w:num w:numId="20" w16cid:durableId="1446847769">
    <w:abstractNumId w:val="34"/>
  </w:num>
  <w:num w:numId="21" w16cid:durableId="188759473">
    <w:abstractNumId w:val="64"/>
  </w:num>
  <w:num w:numId="22" w16cid:durableId="2033334681">
    <w:abstractNumId w:val="39"/>
  </w:num>
  <w:num w:numId="23" w16cid:durableId="1774353327">
    <w:abstractNumId w:val="5"/>
  </w:num>
  <w:num w:numId="24" w16cid:durableId="822938562">
    <w:abstractNumId w:val="17"/>
  </w:num>
  <w:num w:numId="25" w16cid:durableId="1371296527">
    <w:abstractNumId w:val="40"/>
  </w:num>
  <w:num w:numId="26" w16cid:durableId="1424302577">
    <w:abstractNumId w:val="56"/>
  </w:num>
  <w:num w:numId="27" w16cid:durableId="922884472">
    <w:abstractNumId w:val="36"/>
  </w:num>
  <w:num w:numId="28" w16cid:durableId="171378338">
    <w:abstractNumId w:val="18"/>
  </w:num>
  <w:num w:numId="29" w16cid:durableId="1223326248">
    <w:abstractNumId w:val="9"/>
  </w:num>
  <w:num w:numId="30" w16cid:durableId="404106874">
    <w:abstractNumId w:val="8"/>
  </w:num>
  <w:num w:numId="31" w16cid:durableId="862744642">
    <w:abstractNumId w:val="50"/>
  </w:num>
  <w:num w:numId="32" w16cid:durableId="70740090">
    <w:abstractNumId w:val="41"/>
  </w:num>
  <w:num w:numId="33" w16cid:durableId="673843271">
    <w:abstractNumId w:val="26"/>
  </w:num>
  <w:num w:numId="34" w16cid:durableId="1425884309">
    <w:abstractNumId w:val="19"/>
  </w:num>
  <w:num w:numId="35" w16cid:durableId="1283994821">
    <w:abstractNumId w:val="13"/>
  </w:num>
  <w:num w:numId="36" w16cid:durableId="1686247198">
    <w:abstractNumId w:val="43"/>
  </w:num>
  <w:num w:numId="37" w16cid:durableId="147988612">
    <w:abstractNumId w:val="58"/>
  </w:num>
  <w:num w:numId="38" w16cid:durableId="1224760112">
    <w:abstractNumId w:val="14"/>
  </w:num>
  <w:num w:numId="39" w16cid:durableId="680551251">
    <w:abstractNumId w:val="16"/>
  </w:num>
  <w:num w:numId="40" w16cid:durableId="1060445289">
    <w:abstractNumId w:val="10"/>
  </w:num>
  <w:num w:numId="41" w16cid:durableId="1610359512">
    <w:abstractNumId w:val="2"/>
  </w:num>
  <w:num w:numId="42" w16cid:durableId="911046048">
    <w:abstractNumId w:val="44"/>
  </w:num>
  <w:num w:numId="43" w16cid:durableId="1617173273">
    <w:abstractNumId w:val="15"/>
  </w:num>
  <w:num w:numId="44" w16cid:durableId="779420974">
    <w:abstractNumId w:val="35"/>
  </w:num>
  <w:num w:numId="45" w16cid:durableId="849753665">
    <w:abstractNumId w:val="61"/>
  </w:num>
  <w:num w:numId="46" w16cid:durableId="336812507">
    <w:abstractNumId w:val="25"/>
  </w:num>
  <w:num w:numId="47" w16cid:durableId="402146827">
    <w:abstractNumId w:val="52"/>
  </w:num>
  <w:num w:numId="48" w16cid:durableId="742024560">
    <w:abstractNumId w:val="33"/>
  </w:num>
  <w:num w:numId="49" w16cid:durableId="1265461881">
    <w:abstractNumId w:val="53"/>
  </w:num>
  <w:num w:numId="50" w16cid:durableId="926963512">
    <w:abstractNumId w:val="37"/>
  </w:num>
  <w:num w:numId="51" w16cid:durableId="732629275">
    <w:abstractNumId w:val="63"/>
  </w:num>
  <w:num w:numId="52" w16cid:durableId="1580677769">
    <w:abstractNumId w:val="42"/>
  </w:num>
  <w:num w:numId="53" w16cid:durableId="1921285150">
    <w:abstractNumId w:val="46"/>
  </w:num>
  <w:num w:numId="54" w16cid:durableId="308677147">
    <w:abstractNumId w:val="45"/>
  </w:num>
  <w:num w:numId="55" w16cid:durableId="434447818">
    <w:abstractNumId w:val="51"/>
  </w:num>
  <w:num w:numId="56" w16cid:durableId="1368019692">
    <w:abstractNumId w:val="0"/>
  </w:num>
  <w:num w:numId="57" w16cid:durableId="1714184926">
    <w:abstractNumId w:val="20"/>
  </w:num>
  <w:num w:numId="58" w16cid:durableId="2146969810">
    <w:abstractNumId w:val="12"/>
  </w:num>
  <w:num w:numId="59" w16cid:durableId="1903370917">
    <w:abstractNumId w:val="32"/>
  </w:num>
  <w:num w:numId="60" w16cid:durableId="1482964962">
    <w:abstractNumId w:val="47"/>
  </w:num>
  <w:num w:numId="61" w16cid:durableId="329334434">
    <w:abstractNumId w:val="24"/>
  </w:num>
  <w:num w:numId="62" w16cid:durableId="1382821865">
    <w:abstractNumId w:val="7"/>
  </w:num>
  <w:num w:numId="63" w16cid:durableId="836769033">
    <w:abstractNumId w:val="28"/>
  </w:num>
  <w:num w:numId="64" w16cid:durableId="479008536">
    <w:abstractNumId w:val="22"/>
  </w:num>
  <w:num w:numId="65" w16cid:durableId="337660472">
    <w:abstractNumId w:val="60"/>
  </w:num>
  <w:num w:numId="66" w16cid:durableId="412707293">
    <w:abstractNumId w:val="57"/>
  </w:num>
  <w:num w:numId="67" w16cid:durableId="67935424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388F"/>
    <w:rsid w:val="00035284"/>
    <w:rsid w:val="00036C81"/>
    <w:rsid w:val="000370E8"/>
    <w:rsid w:val="00037A9D"/>
    <w:rsid w:val="00040BDE"/>
    <w:rsid w:val="00046064"/>
    <w:rsid w:val="000519E7"/>
    <w:rsid w:val="00051AF6"/>
    <w:rsid w:val="0006199B"/>
    <w:rsid w:val="000622F8"/>
    <w:rsid w:val="00065506"/>
    <w:rsid w:val="00067366"/>
    <w:rsid w:val="0007086E"/>
    <w:rsid w:val="00071405"/>
    <w:rsid w:val="00073E65"/>
    <w:rsid w:val="00084E95"/>
    <w:rsid w:val="00085CE6"/>
    <w:rsid w:val="00086E06"/>
    <w:rsid w:val="00087B6C"/>
    <w:rsid w:val="000923F1"/>
    <w:rsid w:val="00093964"/>
    <w:rsid w:val="000A0B56"/>
    <w:rsid w:val="000A1129"/>
    <w:rsid w:val="000A201F"/>
    <w:rsid w:val="000A3BE0"/>
    <w:rsid w:val="000A4EC8"/>
    <w:rsid w:val="000B164A"/>
    <w:rsid w:val="000B266A"/>
    <w:rsid w:val="000B29EA"/>
    <w:rsid w:val="000B3D4E"/>
    <w:rsid w:val="000B5420"/>
    <w:rsid w:val="000B757C"/>
    <w:rsid w:val="000C114F"/>
    <w:rsid w:val="000D328B"/>
    <w:rsid w:val="000D5258"/>
    <w:rsid w:val="000D5A72"/>
    <w:rsid w:val="000E2B44"/>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B7495"/>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334"/>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423"/>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26251"/>
    <w:rsid w:val="0033032A"/>
    <w:rsid w:val="00332CB2"/>
    <w:rsid w:val="00332DDF"/>
    <w:rsid w:val="0033322F"/>
    <w:rsid w:val="00334F1A"/>
    <w:rsid w:val="00345619"/>
    <w:rsid w:val="00346456"/>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1670"/>
    <w:rsid w:val="003B33BD"/>
    <w:rsid w:val="003B4DCF"/>
    <w:rsid w:val="003B54E2"/>
    <w:rsid w:val="003B6AFF"/>
    <w:rsid w:val="003B7506"/>
    <w:rsid w:val="003C11DC"/>
    <w:rsid w:val="003E36E9"/>
    <w:rsid w:val="003E5CE3"/>
    <w:rsid w:val="003E635B"/>
    <w:rsid w:val="003E70F4"/>
    <w:rsid w:val="003F43A9"/>
    <w:rsid w:val="003F586B"/>
    <w:rsid w:val="003F76FE"/>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30FE"/>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3E85"/>
    <w:rsid w:val="00554051"/>
    <w:rsid w:val="005570B2"/>
    <w:rsid w:val="005603CB"/>
    <w:rsid w:val="005614C0"/>
    <w:rsid w:val="005631A3"/>
    <w:rsid w:val="00563FFF"/>
    <w:rsid w:val="00564B0A"/>
    <w:rsid w:val="00566D1C"/>
    <w:rsid w:val="00570BDB"/>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5F5427"/>
    <w:rsid w:val="005F74E3"/>
    <w:rsid w:val="00603716"/>
    <w:rsid w:val="00603C80"/>
    <w:rsid w:val="006071B9"/>
    <w:rsid w:val="0061039D"/>
    <w:rsid w:val="00613D2C"/>
    <w:rsid w:val="006158D5"/>
    <w:rsid w:val="00621040"/>
    <w:rsid w:val="00630878"/>
    <w:rsid w:val="00630DBD"/>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1461"/>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934"/>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22B5"/>
    <w:rsid w:val="008534BD"/>
    <w:rsid w:val="008560FF"/>
    <w:rsid w:val="00857476"/>
    <w:rsid w:val="0086120C"/>
    <w:rsid w:val="00861DFB"/>
    <w:rsid w:val="00865220"/>
    <w:rsid w:val="008705B8"/>
    <w:rsid w:val="00871FE5"/>
    <w:rsid w:val="00875B71"/>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1834"/>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D359B"/>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275CA"/>
    <w:rsid w:val="00A3487A"/>
    <w:rsid w:val="00A443B5"/>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5E50"/>
    <w:rsid w:val="00AD704A"/>
    <w:rsid w:val="00AE1BFC"/>
    <w:rsid w:val="00AE3638"/>
    <w:rsid w:val="00AE428C"/>
    <w:rsid w:val="00AF155F"/>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137D"/>
    <w:rsid w:val="00B464BB"/>
    <w:rsid w:val="00B47738"/>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411E"/>
    <w:rsid w:val="00BA5242"/>
    <w:rsid w:val="00BB0BB6"/>
    <w:rsid w:val="00BB387C"/>
    <w:rsid w:val="00BB4B52"/>
    <w:rsid w:val="00BB561C"/>
    <w:rsid w:val="00BC38C7"/>
    <w:rsid w:val="00BC42BB"/>
    <w:rsid w:val="00BC571B"/>
    <w:rsid w:val="00BC6585"/>
    <w:rsid w:val="00BD22FB"/>
    <w:rsid w:val="00BD2AE8"/>
    <w:rsid w:val="00BD3365"/>
    <w:rsid w:val="00BD5296"/>
    <w:rsid w:val="00BD5573"/>
    <w:rsid w:val="00BE0A80"/>
    <w:rsid w:val="00BF0DF5"/>
    <w:rsid w:val="00BF11BD"/>
    <w:rsid w:val="00BF11D5"/>
    <w:rsid w:val="00BF1EE7"/>
    <w:rsid w:val="00BF55BD"/>
    <w:rsid w:val="00BF655C"/>
    <w:rsid w:val="00C035E7"/>
    <w:rsid w:val="00C046BC"/>
    <w:rsid w:val="00C04B90"/>
    <w:rsid w:val="00C0671F"/>
    <w:rsid w:val="00C125BC"/>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2D1B"/>
    <w:rsid w:val="00C8695E"/>
    <w:rsid w:val="00C87326"/>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3A97"/>
    <w:rsid w:val="00DC40AB"/>
    <w:rsid w:val="00DC7076"/>
    <w:rsid w:val="00DD131F"/>
    <w:rsid w:val="00DD4283"/>
    <w:rsid w:val="00DE24FD"/>
    <w:rsid w:val="00DE5A7A"/>
    <w:rsid w:val="00DF0427"/>
    <w:rsid w:val="00DF0D4C"/>
    <w:rsid w:val="00DF4BE2"/>
    <w:rsid w:val="00DF4D03"/>
    <w:rsid w:val="00DF6A53"/>
    <w:rsid w:val="00E01C6D"/>
    <w:rsid w:val="00E07375"/>
    <w:rsid w:val="00E07E01"/>
    <w:rsid w:val="00E16009"/>
    <w:rsid w:val="00E17978"/>
    <w:rsid w:val="00E32664"/>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5DDE"/>
    <w:rsid w:val="00EA7E6D"/>
    <w:rsid w:val="00EB09AA"/>
    <w:rsid w:val="00EB15D8"/>
    <w:rsid w:val="00EB3BA9"/>
    <w:rsid w:val="00EB3D19"/>
    <w:rsid w:val="00EB43A3"/>
    <w:rsid w:val="00EB6FD7"/>
    <w:rsid w:val="00EC22F0"/>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efault">
    <w:name w:val="Default"/>
    <w:rsid w:val="00326251"/>
    <w:pPr>
      <w:autoSpaceDE w:val="0"/>
      <w:autoSpaceDN w:val="0"/>
      <w:adjustRightInd w:val="0"/>
      <w:spacing w:after="0" w:line="240" w:lineRule="auto"/>
    </w:pPr>
    <w:rPr>
      <w:rFonts w:ascii="Arial" w:hAnsi="Arial" w:cs="Aria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399720429">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7647821">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596719512">
      <w:bodyDiv w:val="1"/>
      <w:marLeft w:val="0"/>
      <w:marRight w:val="0"/>
      <w:marTop w:val="0"/>
      <w:marBottom w:val="0"/>
      <w:divBdr>
        <w:top w:val="none" w:sz="0" w:space="0" w:color="auto"/>
        <w:left w:val="none" w:sz="0" w:space="0" w:color="auto"/>
        <w:bottom w:val="none" w:sz="0" w:space="0" w:color="auto"/>
        <w:right w:val="none" w:sz="0" w:space="0" w:color="auto"/>
      </w:divBdr>
    </w:div>
    <w:div w:id="644310057">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46024849">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328383">
      <w:bodyDiv w:val="1"/>
      <w:marLeft w:val="0"/>
      <w:marRight w:val="0"/>
      <w:marTop w:val="0"/>
      <w:marBottom w:val="0"/>
      <w:divBdr>
        <w:top w:val="none" w:sz="0" w:space="0" w:color="auto"/>
        <w:left w:val="none" w:sz="0" w:space="0" w:color="auto"/>
        <w:bottom w:val="none" w:sz="0" w:space="0" w:color="auto"/>
        <w:right w:val="none" w:sz="0" w:space="0" w:color="auto"/>
      </w:divBdr>
      <w:divsChild>
        <w:div w:id="765153371">
          <w:marLeft w:val="0"/>
          <w:marRight w:val="0"/>
          <w:marTop w:val="0"/>
          <w:marBottom w:val="0"/>
          <w:divBdr>
            <w:top w:val="none" w:sz="0" w:space="0" w:color="auto"/>
            <w:left w:val="none" w:sz="0" w:space="0" w:color="auto"/>
            <w:bottom w:val="none" w:sz="0" w:space="0" w:color="auto"/>
            <w:right w:val="none" w:sz="0" w:space="0" w:color="auto"/>
          </w:divBdr>
          <w:divsChild>
            <w:div w:id="1842694854">
              <w:marLeft w:val="0"/>
              <w:marRight w:val="0"/>
              <w:marTop w:val="0"/>
              <w:marBottom w:val="0"/>
              <w:divBdr>
                <w:top w:val="none" w:sz="0" w:space="0" w:color="auto"/>
                <w:left w:val="none" w:sz="0" w:space="0" w:color="auto"/>
                <w:bottom w:val="none" w:sz="0" w:space="0" w:color="auto"/>
                <w:right w:val="none" w:sz="0" w:space="0" w:color="auto"/>
              </w:divBdr>
              <w:divsChild>
                <w:div w:id="2770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49630">
      <w:bodyDiv w:val="1"/>
      <w:marLeft w:val="0"/>
      <w:marRight w:val="0"/>
      <w:marTop w:val="0"/>
      <w:marBottom w:val="0"/>
      <w:divBdr>
        <w:top w:val="none" w:sz="0" w:space="0" w:color="auto"/>
        <w:left w:val="none" w:sz="0" w:space="0" w:color="auto"/>
        <w:bottom w:val="none" w:sz="0" w:space="0" w:color="auto"/>
        <w:right w:val="none" w:sz="0" w:space="0" w:color="auto"/>
      </w:divBdr>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1995061208">
      <w:bodyDiv w:val="1"/>
      <w:marLeft w:val="0"/>
      <w:marRight w:val="0"/>
      <w:marTop w:val="0"/>
      <w:marBottom w:val="0"/>
      <w:divBdr>
        <w:top w:val="none" w:sz="0" w:space="0" w:color="auto"/>
        <w:left w:val="none" w:sz="0" w:space="0" w:color="auto"/>
        <w:bottom w:val="none" w:sz="0" w:space="0" w:color="auto"/>
        <w:right w:val="none" w:sz="0" w:space="0" w:color="auto"/>
      </w:divBdr>
      <w:divsChild>
        <w:div w:id="2070107959">
          <w:marLeft w:val="0"/>
          <w:marRight w:val="0"/>
          <w:marTop w:val="0"/>
          <w:marBottom w:val="0"/>
          <w:divBdr>
            <w:top w:val="none" w:sz="0" w:space="0" w:color="auto"/>
            <w:left w:val="none" w:sz="0" w:space="0" w:color="auto"/>
            <w:bottom w:val="none" w:sz="0" w:space="0" w:color="auto"/>
            <w:right w:val="none" w:sz="0" w:space="0" w:color="auto"/>
          </w:divBdr>
          <w:divsChild>
            <w:div w:id="1299998106">
              <w:marLeft w:val="0"/>
              <w:marRight w:val="0"/>
              <w:marTop w:val="0"/>
              <w:marBottom w:val="0"/>
              <w:divBdr>
                <w:top w:val="none" w:sz="0" w:space="0" w:color="auto"/>
                <w:left w:val="none" w:sz="0" w:space="0" w:color="auto"/>
                <w:bottom w:val="none" w:sz="0" w:space="0" w:color="auto"/>
                <w:right w:val="none" w:sz="0" w:space="0" w:color="auto"/>
              </w:divBdr>
              <w:divsChild>
                <w:div w:id="19210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52170/RSI_guidance_what_to_do_if_something_goes_wrong_Examples_table_deciding_what_to_report.pdf" TargetMode="External"/><Relationship Id="rId13" Type="http://schemas.openxmlformats.org/officeDocument/2006/relationships/hyperlink" Target="https://www.oscr.org.uk/about-charities/raise-a-concern/" TargetMode="External"/><Relationship Id="rId18" Type="http://schemas.openxmlformats.org/officeDocument/2006/relationships/hyperlink" Target="https://www.gov.uk/government/publications/guidance-on-reporting-safeguarding-concerns-in-a-charit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harityexcellence.co.uk" TargetMode="External"/><Relationship Id="rId7" Type="http://schemas.openxmlformats.org/officeDocument/2006/relationships/endnotes" Target="endnotes.xml"/><Relationship Id="rId12" Type="http://schemas.openxmlformats.org/officeDocument/2006/relationships/hyperlink" Target="https://www.gov.uk/government/publications/complaints-about-charities/raising-a-concern-with-the-charity-commission-cc47" TargetMode="External"/><Relationship Id="rId17" Type="http://schemas.openxmlformats.org/officeDocument/2006/relationships/hyperlink" Target="https://www.hse.gov.uk/riddor/index.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se.gov.uk/riddor/index.htm" TargetMode="External"/><Relationship Id="rId20" Type="http://schemas.openxmlformats.org/officeDocument/2006/relationships/hyperlink" Target="mailto:ian@charityexcellence.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assets.publishing.service.gov.uk/government/uploads/system/uploads/attachment_data/file/752170/RSI_guidance_what_to_do_if_something_goes_wrong_Examples_table_deciding_what_to_report.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blog.com/legal-recording-and-reporting-requirements-of-accid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co.org.uk/for-organisations/report-a-breach/personal-data-breach-assessment/" TargetMode="External"/><Relationship Id="rId19" Type="http://schemas.openxmlformats.org/officeDocument/2006/relationships/hyperlink" Target="https://www.charityexcellence.co.uk/free-charity-help-finder/" TargetMode="External"/><Relationship Id="rId4" Type="http://schemas.openxmlformats.org/officeDocument/2006/relationships/settings" Target="settings.xml"/><Relationship Id="rId9" Type="http://schemas.openxmlformats.org/officeDocument/2006/relationships/hyperlink" Target="mailto:rsi@charitycommission.gsi.gov.uk" TargetMode="External"/><Relationship Id="rId14" Type="http://schemas.openxmlformats.org/officeDocument/2006/relationships/hyperlink" Target="https://www.charitycommissionni.org.uk/manage-your-charity/serious-incident-reporting-a-guide-for-charity-trustee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1509</Words>
  <Characters>8426</Characters>
  <Application>Microsoft Office Word</Application>
  <DocSecurity>0</DocSecurity>
  <Lines>221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cp:revision>
  <cp:lastPrinted>2023-03-02T08:46:00Z</cp:lastPrinted>
  <dcterms:created xsi:type="dcterms:W3CDTF">2025-06-09T16:45:00Z</dcterms:created>
  <dcterms:modified xsi:type="dcterms:W3CDTF">2025-12-10T08:08:00Z</dcterms:modified>
</cp:coreProperties>
</file>